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Informed Consent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MHCA</w:t>
            </w:r>
          </w:p>
        </w:tc>
        <w:tc>
          <w:tcPr>
            <w:tcW w:type="pct" w:w="22%"/>
            <w:tcBorders>
              <w:top w:val="single" w:color="999999" w:sz="4"/>
              <w:left w:val="single" w:color="999999" w:sz="4"/>
              <w:bottom w:val="single" w:color="999999" w:sz="4"/>
              <w:right w:val="single" w:color="999999" w:sz="4"/>
            </w:tcBorders>
            <w:shd w:fill="E8E8E8" w:val="clear"/>
          </w:tcPr>
          <w:p>
            <w:r>
              <w:rPr>
                <w:b w:val="0"/>
              </w:rPr>
              <w:t>Mental Healthcare Act, 2017</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«PRE/POL/03»  |  Controlled document  |  Policy on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