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Governance — Roles, Responsibilities and Ethical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Note: "Responsible for Governance" refers to the governing entity and can exist in many configurations — owner(s), board of directors, public hospital ministry.</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spacing w:after="140"/>
      </w:pPr>
      <w:r>
        <w:rPr>
          <w:sz w:val="22"/>
          <w:szCs w:val="22"/>
        </w:rPr>
        <w:t xml:space="preserve">It covers the five governance elements ROM.1.a–e name. It does not cover the qualifications or performance of the organisation's leader (ROM.2), strategic and operational plans (ROM.3), or risk management and outsourced services (ROM.4).</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 xml:space="preserve">This step is distinct from ROM.3's operational-plan monitoring. ROM.1.c measures whether the organisation is achieving its stated mission; ROM.3.b monitors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 xml:space="preserve">This step does not cover the qualifications or performance of the organisation's leader — those are ROM.2.</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 xml:space="preserve">This is not a display-only code of ethics. The framework must include a mechanism for reporting and a review cycle. ROM.4's risk-management scope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ROM.1.</w:t>
      </w:r>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«ROM/POL/01»  |  Controlled document  |  Policy on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