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Strategic Plans, Operational Plans, Committees, Service Standards and Staff Rights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spacing w:after="140"/>
      </w:pPr>
      <w:r>
        <w:rPr>
          <w:sz w:val="22"/>
          <w:szCs w:val="22"/>
        </w:rPr>
        <w:t xml:space="preserve">It covers the five elements ROM.3.a–e name. It does not cover governance roles and mission (ROM.1), leader qualifications and performance (ROM.2), or risk management and outsourced services (ROM.4).</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 xml:space="preserve">This is distinct from ROM.1.c's mission-level performance monitoring. ROM.3.b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 xml:space="preserve">This is the governance-level document. HRM owns detailed staff policies, grievance procedures and employment terms. ROM.3.e owns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«ROM/POL/03»  |  Controlled document  |  Policy on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