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Credentialing and Privileging of Para-Clinical Professionals</w:t>
      </w:r>
    </w:p>
    <w:p>
      <w:r>
        <w:t>«Hospital Name» — Supports HRM.13</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policy sets out how «Hospital Name» identifies para-clinical professionals permitted to provide unsupervised patient care, documents and verifies their credentials, grants and communicates their privileges, and ensures they practise within those privileges. This policy does not cover recruitment, induction, safety and quality training, or staff health and safety — those are covered in other hospital policies. If you're new to this SOP, the short version is: follow the numbered steps below in order — they exist because skipping one of them is exactly how an unqualified, unverified or unsupervised member of staff ends up providing care they were never checked or authorised for.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policy sets out how «Hospital Name» identifies para-clinical professionals permitted to provide unsupervised patient care, documents and verifies their credentials, grants and communicates their privileges, and ensures they practise within those privileges. This policy does not cover recruitment, induction, safety and quality training, or staff health and safety — those are covered in other hospital policies.</w:t>
      </w:r>
    </w:p>
    <w:p>
      <w:pPr>
        <w:pStyle w:val="Heading1"/>
      </w:pPr>
      <w:r>
        <w:t>2. Scope</w:t>
      </w:r>
    </w:p>
    <w:p>
      <w:r>
        <w:t>This policy applies to all para-clinical professionals at «Hospital Name» — for example physiotherapists, rehabilitation therapists, dieticians, pharmacists, clinical pharmacists and technologists — permitted by law, regulation and the organisation to provide patient care without supervision.</w:t>
      </w:r>
    </w:p>
    <w:p>
      <w:pPr>
        <w:pStyle w:val="Heading1"/>
      </w:pPr>
      <w:r>
        <w:t>3. Responsibility</w:t>
      </w:r>
    </w:p>
    <w:p>
      <w:r>
        <w:t xml:space="preserve">HR In-Charge / Personnel Officer: owns recruitment, training records, personal files and the day-to-day running of this policy, and keeps the required records current.</w:t>
      </w:r>
    </w:p>
    <w:p>
      <w:r>
        <w:t xml:space="preserve">Medical Superintendent: escalation point for any unresolved gap, and approves the workforce plan, contingency plan and credentialing/privileging decisions.</w:t>
      </w:r>
    </w:p>
    <w:p>
      <w:r>
        <w:t xml:space="preserve">Department Heads / Heads of Service: identify their own department's staffing, training and credentialing needs, and support this policy's records at department level.</w:t>
      </w:r>
    </w:p>
    <w:p>
      <w:r>
        <w:t xml:space="preserve">Quality Coordinator: audits this policy periodically, checks records against the steps below, and flags gaps for corrective action.</w:t>
      </w:r>
    </w:p>
    <w:p>
      <w:pPr>
        <w:pStyle w:val="Heading1"/>
      </w:pPr>
      <w:r>
        <w:t>4. Plain-Language Glossary</w:t>
      </w:r>
    </w:p>
    <w:p>
      <w:r>
        <w:t>If a word below is unfamiliar, this is what it means in this SOP:</w:t>
      </w:r>
    </w:p>
    <w:p>
      <w:pPr>
        <w:pStyle w:val="ListParagraph"/>
      </w:pPr>
      <w:r>
        <w:rPr>
          <w:b/>
        </w:rPr>
        <w:t xml:space="preserve">Stop-work trigger: </w:t>
      </w:r>
      <w:r>
        <w:t>A defined situation serious enough that the activity must stop immediately until it's resolved — here, patient care given outside a professional's identified or privileged scope.</w:t>
      </w:r>
    </w:p>
    <w:p>
      <w:pPr>
        <w:pStyle w:val="Heading1"/>
      </w:pPr>
      <w:r>
        <w:t>5. Procedure</w:t>
      </w:r>
    </w:p>
    <w:p>
      <w:pPr>
        <w:pStyle w:val="Heading2"/>
      </w:pPr>
      <w:r>
        <w:t>5.1 Identification of permitted professionals</w:t>
      </w:r>
    </w:p>
    <w:p>
      <w:r>
        <w:rPr>
          <w:b/>
          <w:i/>
        </w:rPr>
        <w:t xml:space="preserve">Why this step matters: </w:t>
      </w:r>
      <w:r>
        <w:rPr>
          <w:i/>
        </w:rPr>
        <w:t>Unsupervised patient care from a physiotherapist, dietician, pharmacist or technologist never actually confirmed to be qualified is a patient-safety risk exactly like the doctor and nurse versions of this requirement — NABH makes it a stop-work trigger too. This is a CORE requirement — NABH treats it as non-negotiable, not aspirational.</w:t>
      </w:r>
    </w:p>
    <w:p>
      <w:r>
        <w:t>1. Para-clinical professionals — for example physiotherapist, rehabilitation therapist, dietician, pharmacist, clinical pharmacist, technologist — permitted by law, regulation and the organisation to provide patient care without supervision are individually identified.</w:t>
      </w:r>
    </w:p>
    <w:p>
      <w:r>
        <w:t>2. Each identified individual has the required qualification(s), training and experience confirmed, in consonance with the law applicable to that profession.</w:t>
      </w:r>
    </w:p>
    <w:p>
      <w:r>
        <w:t>3. Providing unsupervised patient care outside this identified list is treated as a stop-work trigger under Section 6. (Records 1–2)</w:t>
      </w:r>
    </w:p>
    <w:p>
      <w:pPr>
        <w:pStyle w:val="Heading2"/>
      </w:pPr>
      <w:r>
        <w:t>5.2 Credential documentation and verification</w:t>
      </w:r>
    </w:p>
    <w:p>
      <w:r>
        <w:rPr>
          <w:b/>
          <w:i/>
        </w:rPr>
        <w:t xml:space="preserve">Why this step matters: </w:t>
      </w:r>
      <w:r>
        <w:rPr>
          <w:i/>
        </w:rPr>
        <w:t>A para-clinical professional's claimed qualification that was never actually checked with the awarding body, or updated after a new one, is exactly the gap a lapsed or forged credential hides in. NABH checks this as part of how a genuinely competent, safe workforce is actually built and kept, not just what's written about it.</w:t>
      </w:r>
    </w:p>
    <w:p>
      <w:r>
        <w:t>1. The education, registration, training and experience of each identified para-clinical professional are verified, documented and updated after the acquisition of any new skill or qualification.</w:t>
      </w:r>
    </w:p>
    <w:p>
      <w:r>
        <w:t>2. Verification is done by checking with the organisation that actually awarded the qualification or training — see the technical source below. (Records 3–4)</w:t>
      </w:r>
    </w:p>
    <w:p>
      <w:r>
        <w:rPr>
          <w:b/>
          <w:i/>
          <w:sz w:val="18"/>
        </w:rPr>
        <w:t xml:space="preserve">Technical source(s) for these steps: </w:t>
      </w:r>
    </w:p>
    <w:p>
      <w:pPr>
        <w:pStyle w:val="ListParagraph"/>
      </w:pPr>
      <w:hyperlink r:id="rId9">
        <w:r>
          <w:rPr>
            <w:color w:val="0563C1"/>
            <w:u w:val="single"/>
          </w:rPr>
          <w:t>The Joint Commission. Primary Source Verification (white paper).</w:t>
        </w:r>
      </w:hyperlink>
    </w:p>
    <w:p>
      <w:pPr>
        <w:pStyle w:val="ListParagraph"/>
      </w:pPr>
      <w:r>
        <w:t>Note: The Joint Commission’s primary-source-verification concept is cited as a methodology reference, not as the verification route itself. In India, the operative primary-source check runs through the relevant statutory council — the Allied and Healthcare Professions Central Council Act, 2021 for most para-clinical professions, or the Pharmacy Council of India Act, 1948 for pharmacists — alongside direct confirmation from the awarding institution.</w:t>
      </w:r>
    </w:p>
    <w:p>
      <w:pPr>
        <w:pStyle w:val="Heading2"/>
      </w:pPr>
      <w:r>
        <w:t>5.3 Granting of privileges</w:t>
      </w:r>
    </w:p>
    <w:p>
      <w:r>
        <w:rPr>
          <w:b/>
          <w:i/>
        </w:rPr>
        <w:t xml:space="preserve">Why this step matters: </w:t>
      </w:r>
      <w:r>
        <w:rPr>
          <w:i/>
        </w:rPr>
        <w:t>A para-clinical professional practising beyond what they're actually privileged for is a direct patient-safety failure, which is why NABH makes this a stop-work trigger. This is a CORE requirement — NABH treats it as non-negotiable, not aspirational.</w:t>
      </w:r>
    </w:p>
    <w:p>
      <w:r>
        <w:t>1. Privileges are granted in consonance with each professional's qualification, training, experience and registration.</w:t>
      </w:r>
    </w:p>
    <w:p>
      <w:r>
        <w:t>2. What each para-clinical professional is authorised to do is specifically identified, with the requisite registration or licence held on file where applicable to that profession.</w:t>
      </w:r>
    </w:p>
    <w:p>
      <w:r>
        <w:t>3. Granting or exercising a privilege outside this record is treated as a stop-work trigger under Section 6. (Records 5–6)</w:t>
      </w:r>
    </w:p>
    <w:p>
      <w:pPr>
        <w:pStyle w:val="Heading2"/>
      </w:pPr>
      <w:r>
        <w:t>5.4 Communication of privileges</w:t>
      </w:r>
    </w:p>
    <w:p>
      <w:r>
        <w:rPr>
          <w:b/>
          <w:i/>
        </w:rPr>
        <w:t xml:space="preserve">Why this step matters: </w:t>
      </w:r>
      <w:r>
        <w:rPr>
          <w:i/>
        </w:rPr>
        <w:t>If the concerned department doesn't actually know what a para-clinical professional is privileged for, the boundary NABH required can't be enforced. NABH checks this as part of how a genuinely competent, safe workforce is actually built and kept, not just what's written about it.</w:t>
      </w:r>
    </w:p>
    <w:p>
      <w:r>
        <w:t>1. The requisite services each para-clinical professional is authorised to provide are communicated to that professional directly, and to the concerned departments, through internal communication. (Record 7)</w:t>
      </w:r>
    </w:p>
    <w:p>
      <w:pPr>
        <w:pStyle w:val="Heading2"/>
      </w:pPr>
      <w:r>
        <w:t>5.5 Practising within privileges</w:t>
      </w:r>
    </w:p>
    <w:p>
      <w:r>
        <w:rPr>
          <w:b/>
          <w:i/>
        </w:rPr>
        <w:t xml:space="preserve">Why this step matters: </w:t>
      </w:r>
      <w:r>
        <w:rPr>
          <w:i/>
        </w:rPr>
        <w:t>A privileging record means nothing if actual practice doesn't stay inside it — new staff working under supervision until independent privileges are granted is how that gap is closed in the meantime. NABH checks this as part of how a genuinely competent, safe workforce is actually built and kept, not just what's written about it.</w:t>
      </w:r>
    </w:p>
    <w:p>
      <w:r>
        <w:t>1. Para-clinical professionals care for patients strictly as per their granted privileging.</w:t>
      </w:r>
    </w:p>
    <w:p>
      <w:r>
        <w:t>2. A new staff member works under supervision until independent privileges are formally granted.</w:t>
      </w:r>
    </w:p>
    <w:p>
      <w:r>
        <w:t>3. A mechanism actively confirms that para-clinical professionals are providing only the services they are privileged for. (Records 8–9)</w:t>
      </w:r>
    </w:p>
    <w:p>
      <w:pPr>
        <w:pStyle w:val="Heading1"/>
      </w:pPr>
      <w:r>
        <w:t>6. Records</w:t>
      </w:r>
    </w:p>
    <w:p>
      <w:r>
        <w:t>This SOP produces and maintains Records 1 through 9 (see the HRM.13 Records folder).</w:t>
      </w:r>
    </w:p>
    <w:p>
      <w:pPr>
        <w:pStyle w:val="Heading1"/>
      </w:pPr>
      <w:r>
        <w:t>7. Related Documents</w:t>
      </w:r>
    </w:p>
    <w:p>
      <w:pPr>
        <w:pStyle w:val="ListParagraph"/>
      </w:pPr>
      <w:r>
        <w:t>Policy on Credentialing and Privileging of Para-Clinical Professionals (HCO/HRM/POL/13) — this policy</w:t>
      </w:r>
    </w:p>
    <w:p>
      <w:pPr>
        <w:pStyle w:val="ListParagraph"/>
      </w:pPr>
      <w:r>
        <w:t>Required Records — HRM.13 (see HRM.13 Records folder)</w:t>
      </w:r>
    </w:p>
    <w:p>
      <w:pPr>
        <w:pStyle w:val="Heading1"/>
      </w:pPr>
      <w:r>
        <w:t>8. Where This SOP's Requirements Come From (Verified Sources)</w:t>
      </w:r>
    </w:p>
    <w:p>
      <w:pPr>
        <w:pStyle w:val="ListParagraph"/>
      </w:pPr>
      <w:r>
        <w:rPr>
          <w:i/>
        </w:rPr>
        <w:t>National Accreditation Board for Hospitals and Healthcare Providers. (2025). NABH accreditation standards for hospitals (6th ed.), HRM.13. ISBN 978-81-965264-9-8. https://portal.nabh.co/images/Standards/NABH%20Hospital%20Accreditation%20Standard%206th%20Edition%20January%202025.pdf</w:t>
      </w:r>
    </w:p>
    <w:p>
      <w:pPr>
        <w:pStyle w:val="Heading1"/>
      </w:pPr>
      <w:r>
        <w:t>9. Review</w:t>
      </w:r>
    </w:p>
    <w:p>
      <w:r>
        <w:t>This SOP is reviewed at least annually by the Quality Coordinator together with the HR In-Charge, and immediately if an incident, audit or credentialing gap finds it isn't working as written.</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jointcommission.org/en/products-and-services/publications/white-papers/primary-source-verif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