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Job-Specific Staff Training</w:t>
      </w:r>
    </w:p>
    <w:p>
      <w:r>
        <w:t>«Hospital Name» — Supports HRM.5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policy explains the job-specific training «Hospital Name» provides beyond induction, based on what a staff member's role actually requires. This policy does not cover the clinical procedures themselves for blood transfusion, vulnerable-patient care, control and restraint, or patient communication — those are covered in other hospital policies. This policy is the staff training layer for those procedures. If you're new to this SOP, the short version is: follow the numbered steps below in order — they exist because skipping one of them is exactly how an unqualified, unverified or unsupervised member of staff ends up providing care they were never checked or authorised for.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policy explains the job-specific training «Hospital Name» provides beyond induction, based on what a staff member's role actually requires. This policy does not cover the clinical procedures themselves for blood transfusion, vulnerable-patient care, control and restraint, or patient communication — those are covered in other hospital policies. This policy is the staff training layer for those procedures.</w:t>
      </w:r>
    </w:p>
    <w:p>
      <w:pPr>
        <w:pStyle w:val="Heading1"/>
      </w:pPr>
      <w:r>
        <w:t>2. Scope</w:t>
      </w:r>
    </w:p>
    <w:p>
      <w:r>
        <w:t>This policy applies to the HR In-Charge / Personnel Officer, department heads, and every staff member whose role requires blood-handling, vulnerable-patient care, restraint, communication, CPR, or infection-control skills.</w:t>
      </w:r>
    </w:p>
    <w:p>
      <w:pPr>
        <w:pStyle w:val="Heading1"/>
      </w:pPr>
      <w:r>
        <w:t>3. Responsibility</w:t>
      </w:r>
    </w:p>
    <w:p>
      <w:r>
        <w:t xml:space="preserve">HR In-Charge / Personnel Officer: </w:t>
      </w:r>
      <w:r>
        <w:t>owns recruitment, training records, personal files and the day-to-day running of this policy, and keeps the required records current.</w:t>
      </w:r>
    </w:p>
    <w:p>
      <w:r>
        <w:t xml:space="preserve">Medical Superintendent: </w:t>
      </w:r>
      <w:r>
        <w:t>escalation point for any unresolved gap, and approves the workforce plan, contingency plan and credentialing/privileging decisions.</w:t>
      </w:r>
    </w:p>
    <w:p>
      <w:r>
        <w:t xml:space="preserve">Department Heads / Heads of Service: </w:t>
      </w:r>
      <w:r>
        <w:t>identify their own department's staffing, training and credentialing needs, and support this policy's records at department level.</w:t>
      </w:r>
    </w:p>
    <w:p>
      <w:r>
        <w:t xml:space="preserve">Quality Coordinator: </w:t>
      </w:r>
      <w:r>
        <w:t>audits this policy periodically, checks records against the steps below, and flags gaps for corrective action.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ACLS (Advanced Cardiovascular Life Support): </w:t>
      </w:r>
      <w:r>
        <w:t>The advanced-level resuscitation course for doctors and nurses managing adult cardiac arrest and peri-arrest emergencies, typically required in ICU/emergency settings.</w:t>
      </w:r>
    </w:p>
    <w:p>
      <w:pPr>
        <w:pStyle w:val="ListParagraph"/>
      </w:pPr>
      <w:r>
        <w:rPr>
          <w:b/>
        </w:rPr>
        <w:t xml:space="preserve">PALS (Pediatric Advanced Life Support): </w:t>
      </w:r>
      <w:r>
        <w:t>The advanced-level resuscitation course for managing a child in cardiac or respiratory arrest.</w:t>
      </w:r>
    </w:p>
    <w:p>
      <w:pPr>
        <w:pStyle w:val="ListParagraph"/>
      </w:pPr>
      <w:r>
        <w:rPr>
          <w:b/>
        </w:rPr>
        <w:t xml:space="preserve">ATLS (Advanced Trauma Life Support): </w:t>
      </w:r>
      <w:r>
        <w:t>The American College of Surgeons' structured course for the first-hour management of a severely injured trauma patient.</w:t>
      </w:r>
    </w:p>
    <w:p>
      <w:pPr>
        <w:pStyle w:val="ListParagraph"/>
      </w:pPr>
      <w:r>
        <w:rPr>
          <w:b/>
        </w:rPr>
        <w:t xml:space="preserve">NRP (Neonatal Resuscitation Program): </w:t>
      </w:r>
      <w:r>
        <w:t>The advanced-level resuscitation course for managing a newborn who fails to breathe or maintain circulation at birth.</w:t>
      </w:r>
    </w:p>
    <w:p>
      <w:pPr>
        <w:pStyle w:val="Heading1"/>
      </w:pPr>
      <w:r>
        <w:t>5. Procedure</w:t>
      </w:r>
    </w:p>
    <w:p>
      <w:pPr>
        <w:pStyle w:val="Heading2"/>
      </w:pPr>
      <w:r>
        <w:t>5.1 Train staff on blood and blood product handling</w:t>
      </w:r>
    </w:p>
    <w:p>
      <w:r>
        <w:rPr>
          <w:b/>
          <w:i/>
        </w:rPr>
        <w:t xml:space="preserve">Why this step matters: </w:t>
      </w:r>
      <w:r>
        <w:rPr>
          <w:i/>
        </w:rPr>
        <w:t>Untrained staff handling blood or blood products risk a missed consent step, mishandled transport, or an unrecognised transfusion reaction — this is the staff-training layer behind the blood-transfusion policy itself. NABH checks this as part of how a genuinely competent, safe workforce is actually built and kept, not just what's written about it.</w:t>
      </w:r>
    </w:p>
    <w:p>
      <w:r>
        <w:t>1. Doctors, nurses, technicians and staff who transport blood from the blood bank or storage unit are trained specifically in safe handling of blood and blood products.</w:t>
      </w:r>
    </w:p>
    <w:p>
      <w:r>
        <w:t>2. Training covers safe transport, obtaining informed consent, the documentation required, and identifying and handling a transfusion reaction — see the technical source below.</w:t>
      </w:r>
    </w:p>
    <w:p>
      <w:r>
        <w:t>3. Training also covers how to educate the patient and family about donation, where relevant to the staff member's role.</w:t>
      </w:r>
    </w:p>
    <w:p>
      <w:r>
        <w:t>4. This training record is kept separately from the blood-transfusion-service practice record itself (covered elsewhere) — this element is specifically the staff-training layer. (Records 1–2)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AABB. Standards for Blood Banks and Transfusion Services.</w:t>
        </w:r>
      </w:hyperlink>
    </w:p>
    <w:p>
      <w:pPr>
        <w:pStyle w:val="Heading2"/>
      </w:pPr>
      <w:r>
        <w:t>5.2 Train staff on vulnerable-patient care</w:t>
      </w:r>
    </w:p>
    <w:p>
      <w:r>
        <w:rPr>
          <w:b/>
          <w:i/>
        </w:rPr>
        <w:t xml:space="preserve">Why this step matters: </w:t>
      </w:r>
      <w:r>
        <w:rPr>
          <w:i/>
        </w:rPr>
        <w:t>Staff who can't identify a vulnerable patient can't apply the extra protection that patient actually needs. NABH checks this as part of how a genuinely competent, safe workforce is actually built and kept, not just what's written about it.</w:t>
      </w:r>
    </w:p>
    <w:p>
      <w:r>
        <w:t>1. Relevant staff are trained to identify a vulnerable patient — for example an elderly, disabled, cognitively impaired or otherwise at-risk patient — per the hospital's written guidance.</w:t>
      </w:r>
    </w:p>
    <w:p>
      <w:r>
        <w:t>2. Training covers how to actually render appropriate care once a vulnerable patient is identified, not just how to label them as vulnerable.</w:t>
      </w:r>
    </w:p>
    <w:p>
      <w:r>
        <w:t>3. This training record is kept separately from the vulnerable-patient-care process record itself (covered elsewhere) — see the technical source below for the accessibility standard this training draws on. (Records 3–4)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Central/State Commissioners for Persons with Disabilities (under the Rights of Persons with Disabilities Act, 2016). Harmonized Guidelines for Standards of Accessibility.</w:t>
        </w:r>
      </w:hyperlink>
    </w:p>
    <w:p>
      <w:pPr>
        <w:pStyle w:val="Heading2"/>
      </w:pPr>
      <w:r>
        <w:t>5.3 Train staff on control and restraint</w:t>
      </w:r>
    </w:p>
    <w:p>
      <w:r>
        <w:rPr>
          <w:b/>
          <w:i/>
        </w:rPr>
        <w:t xml:space="preserve">Why this step matters: </w:t>
      </w:r>
      <w:r>
        <w:rPr>
          <w:i/>
        </w:rPr>
        <w:t>Untrained restraint technique is how a patient or staff member gets physically hurt during an already difficult situation. NABH checks this as part of how a genuinely competent, safe workforce is actually built and kept, not just what's written about it.</w:t>
      </w:r>
    </w:p>
    <w:p>
      <w:r>
        <w:t>1. Relevant staff are trained in the appropriate use of control and restraint techniques, per the hospital's written guidance, before they are permitted to use restraint on a patient.</w:t>
      </w:r>
    </w:p>
    <w:p>
      <w:r>
        <w:t>2. Training covers when restraint is lawfully permitted and when it is not — see the technical source below for the statutory basis this training must follow.</w:t>
      </w:r>
    </w:p>
    <w:p>
      <w:r>
        <w:t>3. This training record is kept separately from the restraint-process record itself (covered elsewhere) — this element is specifically the staff-training layer. (Records 5–6)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Government of India. (2017). The Mental Healthcare Act, 2017, ss. 94–95 (Restraint and seclusion).</w:t>
        </w:r>
      </w:hyperlink>
    </w:p>
    <w:p>
      <w:pPr>
        <w:pStyle w:val="Heading2"/>
      </w:pPr>
      <w:r>
        <w:t>5.4 Train staff on healthcare communication</w:t>
      </w:r>
    </w:p>
    <w:p>
      <w:r>
        <w:rPr>
          <w:b/>
          <w:i/>
        </w:rPr>
        <w:t xml:space="preserve">Why this step matters: </w:t>
      </w:r>
      <w:r>
        <w:rPr>
          <w:i/>
        </w:rPr>
        <w:t>Poor communication during a challenging situation is a documented driver of patient complaints and disputes — training needs can come from complaints, incident reports, appraisals and employee feedback, not just a generic curriculum. NABH checks this as part of how a genuinely competent, safe workforce is actually built and kept, not just what's written about it.</w:t>
      </w:r>
    </w:p>
    <w:p>
      <w:r>
        <w:t>1. Staff are trained in healthcare communication techniques, including how to handle a challenging or emotionally difficult conversation with a patient or family member.</w:t>
      </w:r>
    </w:p>
    <w:p>
      <w:r>
        <w:t>2. Training draws on a structured communication technique — see the technical source below — so a difficult handover of information follows a consistent, safe pattern rather than being left to individual style.</w:t>
      </w:r>
    </w:p>
    <w:p>
      <w:r>
        <w:t>3. Training needs for this topic are actively identified from patient complaints, incident reports, appraisals and employee feedback, not assumed. (Records 7–8)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2">
        <w:r>
          <w:rPr>
            <w:color w:val="0563C1"/>
            <w:u w:val="single"/>
          </w:rPr>
          <w:t>Institute for Healthcare Improvement. SBAR Tool: Situation-Background-Assessment-Recommendation.</w:t>
        </w:r>
      </w:hyperlink>
    </w:p>
    <w:p>
      <w:pPr>
        <w:pStyle w:val="Heading2"/>
      </w:pPr>
      <w:r>
        <w:t>5.5 Train staff on CPR periodically</w:t>
      </w:r>
    </w:p>
    <w:p>
      <w:r>
        <w:rPr>
          <w:b/>
          <w:i/>
        </w:rPr>
        <w:t xml:space="preserve">Why this step matters: </w:t>
      </w:r>
      <w:r>
        <w:rPr>
          <w:i/>
        </w:rPr>
        <w:t>CPR skill decays without refreshing — NABH sets at least once every two years as the floor, sooner if protocol changes, with advanced-level refreshers for emergency/ICU/HDU staff. This is a CORE requirement — NABH treats it as non-negotiable, not aspirational.</w:t>
      </w:r>
    </w:p>
    <w:p>
      <w:r>
        <w:t>1. Staff involved in direct patient care are retrained on cardio-pulmonary resuscitation periodically, at the level appropriate to their role — see the technical source below.</w:t>
      </w:r>
    </w:p>
    <w:p>
      <w:r>
        <w:t>2. Doctors, nurses and rehabilitation staff refresh their certification at least once every two years, or sooner if the resuscitation protocol itself changes.</w:t>
      </w:r>
    </w:p>
    <w:p>
      <w:r>
        <w:t>3. Staff in emergency, intensive care or high-dependency units complete the appropriate advanced course — for example ACLS, ATLS, PALS or NRP, or an equivalent recognised course. (Records 9–11)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3">
        <w:r>
          <w:rPr>
            <w:color w:val="0563C1"/>
            <w:u w:val="single"/>
          </w:rPr>
          <w:t>American Heart Association. Basic Life Support (BLS) Training for Healthcare Professionals.</w:t>
        </w:r>
      </w:hyperlink>
    </w:p>
    <w:p>
      <w:pPr>
        <w:pStyle w:val="ListParagraph"/>
      </w:pPr>
      <w:hyperlink r:id="rId14">
        <w:r>
          <w:rPr>
            <w:color w:val="0563C1"/>
            <w:u w:val="single"/>
          </w:rPr>
          <w:t>American College of Surgeons. About Advanced Trauma Life Support (ATLS).</w:t>
        </w:r>
      </w:hyperlink>
    </w:p>
    <w:p>
      <w:pPr>
        <w:pStyle w:val="ListParagraph"/>
      </w:pPr>
      <w:hyperlink r:id="rId15">
        <w:r>
          <w:rPr>
            <w:color w:val="0563C1"/>
            <w:u w:val="single"/>
          </w:rPr>
          <w:t>American Academy of Pediatrics. Neonatal Resuscitation Program (NRP).</w:t>
        </w:r>
      </w:hyperlink>
    </w:p>
    <w:p>
      <w:pPr>
        <w:pStyle w:val="Heading2"/>
      </w:pPr>
      <w:r>
        <w:t>5.6 Train staff on infection prevention and control</w:t>
      </w:r>
    </w:p>
    <w:p>
      <w:r>
        <w:rPr>
          <w:b/>
          <w:i/>
        </w:rPr>
        <w:t xml:space="preserve">Why this step matters: </w:t>
      </w:r>
      <w:r>
        <w:rPr>
          <w:i/>
        </w:rPr>
        <w:t>Job-specific IPC training — including antimicrobial stewardship content for the professionals who actually prescribe and dispense — keeps day-to-day practice infection-safe, not just induction-day awareness. NABH checks this as part of how a genuinely competent, safe workforce is actually built and kept, not just what's written about it.</w:t>
      </w:r>
    </w:p>
    <w:p>
      <w:r>
        <w:t>1. In-service IPC training is run at least once a year — see the technical source below for the programme framework this training supports.</w:t>
      </w:r>
    </w:p>
    <w:p>
      <w:r>
        <w:t>2. Content includes the hospital's antimicrobial policy and antimicrobial stewardship, specifically for medical professionals, IPC nurses, the clinical pharmacist and support staff.</w:t>
      </w:r>
    </w:p>
    <w:p>
      <w:r>
        <w:t>3. Attendance is recorded per staff member so a gap in who has and hasn't been trained is visible, not assumed covered. (Records 12–13)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16">
        <w:r>
          <w:rPr>
            <w:color w:val="0563C1"/>
            <w:u w:val="single"/>
          </w:rPr>
          <w:t>World Health Organization. (2018). Guidelines on Core Components of Infection Prevention and Control Programmes.</w:t>
        </w:r>
      </w:hyperlink>
    </w:p>
    <w:p>
      <w:pPr>
        <w:pStyle w:val="Heading1"/>
      </w:pPr>
      <w:r>
        <w:t>6. Records</w:t>
      </w:r>
    </w:p>
    <w:p>
      <w:r>
        <w:t>This SOP produces and maintains Records 1 through 13 (see the HRM.5 Records folder).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Job-Specific Staff Training (HCO/HRM/POL/05) — this policy</w:t>
      </w:r>
    </w:p>
    <w:p>
      <w:pPr>
        <w:pStyle w:val="ListParagraph"/>
      </w:pPr>
      <w:r>
        <w:t>Required Records — HRM.5 (see HRM.5 Records folder)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r>
        <w:rPr>
          <w:i/>
        </w:rPr>
        <w:t>National Accreditation Board for Hospitals and Healthcare Providers. (2025). NABH accreditation standards for hospitals (6th ed.), HRM.5. ISBN 978-81-965264-9-8. https://portal.nabh.co/images/Standards/NABH%20Hospital%20Accreditation%20Standard%206th%20Edition%20January%202025.pdf</w:t>
      </w:r>
    </w:p>
    <w:p>
      <w:pPr>
        <w:pStyle w:val="Heading1"/>
      </w:pPr>
      <w:r>
        <w:t>9. Review</w:t>
      </w:r>
    </w:p>
    <w:p>
      <w:r>
        <w:t>This SOP is reviewed at least annually by the Quality Coordinator together with the HR In-Charge, and immediately if an incident, audit or credentialing gap finds it isn't working as written.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abb.org/standards-accreditation/standards/blood-banks-and-transfusion-services" TargetMode="External"/><Relationship Id="rId10" Type="http://schemas.openxmlformats.org/officeDocument/2006/relationships/hyperlink" Target="https://ccpd.nic.in/harmonized-guidelines-for-standards-of-accessibility/" TargetMode="External"/><Relationship Id="rId11" Type="http://schemas.openxmlformats.org/officeDocument/2006/relationships/hyperlink" Target="https://www.advocatekhoj.com/library/bareacts/mentalhealthcare/97.php" TargetMode="External"/><Relationship Id="rId12" Type="http://schemas.openxmlformats.org/officeDocument/2006/relationships/hyperlink" Target="https://www.ihi.org/library/tools/sbar-tool-situation-background-assessment-recommendation" TargetMode="External"/><Relationship Id="rId13" Type="http://schemas.openxmlformats.org/officeDocument/2006/relationships/hyperlink" Target="https://cpr.heart.org/en/cpr-courses-and-kits/healthcare-professional/basic-life-support-bls-training" TargetMode="External"/><Relationship Id="rId14" Type="http://schemas.openxmlformats.org/officeDocument/2006/relationships/hyperlink" Target="https://www.facs.org/quality-programs/trauma/education/advanced-trauma-life-support/about/" TargetMode="External"/><Relationship Id="rId15" Type="http://schemas.openxmlformats.org/officeDocument/2006/relationships/hyperlink" Target="https://www.aap.org/en/pedialink/neonatal-resuscitation-program/" TargetMode="External"/><Relationship Id="rId16" Type="http://schemas.openxmlformats.org/officeDocument/2006/relationships/hyperlink" Target="https://www.who.int/publications/i/item/WHO-HIS-SDS-2018.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