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Staff Health and Safety</w:t>
      </w:r>
    </w:p>
    <w:p>
      <w:r>
        <w:t>«Hospital Name» — Supports HRM.9</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addresses staff health problems and occupational health hazards, conducts periodic health checks for staff in direct patient care, provides treatment for workplace-related injuries, and prevents and handles workplace violence. This policy does not cover recruitment, induction, performance appraisal, or disciplinary and grievance handling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addresses staff health problems and occupational health hazards, conducts periodic health checks for staff in direct patient care, provides treatment for workplace-related injuries, and prevents and handles workplace violence. This policy does not cover recruitment, induction, performance appraisal, or disciplinary and grievance handling — those are covered in other hospital policies.</w:t>
      </w:r>
    </w:p>
    <w:p>
      <w:pPr>
        <w:pStyle w:val="Heading1"/>
      </w:pPr>
      <w:r>
        <w:t>2. Scope</w:t>
      </w:r>
    </w:p>
    <w:p>
      <w:r>
        <w:t>This policy applies to all staff of «Hospital Name», with periodic health checks specifically covering staff who deal with direct patient care.</w:t>
      </w:r>
    </w:p>
    <w:p>
      <w:pPr>
        <w:pStyle w:val="Heading1"/>
      </w:pPr>
      <w:r>
        <w:t>3. Responsibility</w:t>
      </w:r>
    </w:p>
    <w:p>
      <w:r>
        <w:t xml:space="preserve">HR In-Charge / Personnel Officer: owns recruitment, training records, personal files and the day-to-day running of this policy, and keeps the required records current.</w:t>
      </w:r>
    </w:p>
    <w:p>
      <w:r>
        <w:t xml:space="preserve">Medical Superintendent: escalation point for any unresolved gap, and approves the workforce plan, contingency plan and credentialing/privileging decisions.</w:t>
      </w:r>
    </w:p>
    <w:p>
      <w:r>
        <w:t xml:space="preserve">Department Heads / Heads of Service: identify their own department's staffing, training and credentialing needs, and support this policy's records at department level.</w:t>
      </w:r>
    </w:p>
    <w:p>
      <w:r>
        <w:t xml:space="preserve">Quality Coordinator: 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'Second victim': </w:t>
      </w:r>
      <w:r>
        <w:t>A staff member who is themselves traumatised after being involved in an unanticipated adverse event, medical error, or patient-related injury, and who needs support in their own right.</w:t>
      </w:r>
    </w:p>
    <w:p>
      <w:pPr>
        <w:pStyle w:val="Heading1"/>
      </w:pPr>
      <w:r>
        <w:t>5. Procedure</w:t>
      </w:r>
    </w:p>
    <w:p>
      <w:pPr>
        <w:pStyle w:val="Heading2"/>
      </w:pPr>
      <w:r>
        <w:t>5.1 Staff health and safety policy</w:t>
      </w:r>
    </w:p>
    <w:p>
      <w:r>
        <w:rPr>
          <w:b/>
          <w:i/>
        </w:rPr>
        <w:t xml:space="preserve">Why this step matters: </w:t>
      </w:r>
      <w:r>
        <w:rPr>
          <w:i/>
        </w:rPr>
        <w:t>Staff physical and mental health, and workplace hazards, left unaddressed become patient-safety risks by way of an unwell or unprotected workforce — this covers the written policy, vaccination programme, PPE and second-victim support together. NABH checks this as part of how a genuinely competent, safe workforce is actually built and kept, not just what's written about it.</w:t>
      </w:r>
    </w:p>
    <w:p>
      <w:r>
        <w:t>1. Written guidance on staff health and safety addresses physical and mental health and safe working conditions across all shifts, in line with the law of the land and good work practice — including maternity-related leave and safe working conditions under the Maternity Benefit Act, 1961 (as amended 2017) — see the technical source below.</w:t>
      </w:r>
    </w:p>
    <w:p>
      <w:r>
        <w:t>2. A staff vaccination and immunisation programme is run and actually offered to staff, not just described on paper.</w:t>
      </w:r>
    </w:p>
    <w:p>
      <w:r>
        <w:t>3. Appropriate personal protective equipment is provided, with staff trained on how to actually use it.</w:t>
      </w:r>
    </w:p>
    <w:p>
      <w:r>
        <w:t>4. Staff involved as a 'second victim' in an unanticipated adverse event, medical error or patient-related injury are actively supported, not left to manage the aftermath alone. (Records 1–3)</w:t>
      </w:r>
    </w:p>
    <w:p>
      <w:r>
        <w:rPr>
          <w:b/>
          <w:i/>
          <w:sz w:val="18"/>
        </w:rPr>
        <w:t xml:space="preserve">Technical source(s) for these steps: </w:t>
      </w:r>
    </w:p>
    <w:p>
      <w:pPr>
        <w:pStyle w:val="ListParagraph"/>
      </w:pPr>
      <w:hyperlink r:id="rId9">
        <w:r>
          <w:rPr>
            <w:color w:val="0563C1"/>
            <w:u w:val="single"/>
          </w:rPr>
          <w:t>Centers for Disease Control and Prevention, National Institute for Occupational Safety and Health (NIOSH).</w:t>
        </w:r>
      </w:hyperlink>
    </w:p>
    <w:p>
      <w:r>
        <w:t>Government of India. (1961, amended 2017). The Maternity Benefit Act, 1961.</w:t>
      </w:r>
    </w:p>
    <w:p>
      <w:pPr>
        <w:pStyle w:val="ListParagraph"/>
      </w:pPr>
      <w:r>
        <w:t>Note: CDC/NIOSH guidance is cited for technique only. The binding Indian statutory basis for occupational health and safety is the Factories Act, 1948 (occupational health provisions, applicable to hospitals as establishments), which applies alongside this guidance.</w:t>
      </w:r>
    </w:p>
    <w:p>
      <w:pPr>
        <w:pStyle w:val="Heading2"/>
      </w:pPr>
      <w:r>
        <w:t>5.2 Periodic health checks</w:t>
      </w:r>
    </w:p>
    <w:p>
      <w:r>
        <w:rPr>
          <w:b/>
          <w:i/>
        </w:rPr>
        <w:t xml:space="preserve">Why this step matters: </w:t>
      </w:r>
      <w:r>
        <w:rPr>
          <w:i/>
        </w:rPr>
        <w:t>An unchecked direct-patient-care staff member could be carrying, or exposed to, a condition nobody caught in time. NABH checks this as part of how a genuinely competent, safe workforce is actually built and kept, not just what's written about it.</w:t>
      </w:r>
    </w:p>
    <w:p>
      <w:r>
        <w:t>1. Staff dealing with direct patient care undergo a health check at least once a year — see the technical source below for a recognised medical-surveillance framework this follows.</w:t>
      </w:r>
    </w:p>
    <w:p>
      <w:r>
        <w:t>2. Findings and results are documented in the personal file; parameters may differ by staff category, and a competent individual may be identified to perform the checks.</w:t>
      </w:r>
    </w:p>
    <w:p>
      <w:r>
        <w:t>3. The staff member is never charged for this health check; more frequent checks are done where the role or a specific exposure calls for it. (Record 4)</w:t>
      </w:r>
    </w:p>
    <w:p>
      <w:r>
        <w:rPr>
          <w:b/>
          <w:i/>
          <w:sz w:val="18"/>
        </w:rPr>
        <w:t xml:space="preserve">Technical source(s) for these steps: </w:t>
      </w:r>
    </w:p>
    <w:p>
      <w:pPr>
        <w:pStyle w:val="ListParagraph"/>
      </w:pPr>
      <w:hyperlink r:id="rId10">
        <w:r>
          <w:rPr>
            <w:color w:val="0563C1"/>
            <w:u w:val="single"/>
          </w:rPr>
          <w:t>CDC/NIOSH. (2013). Medical Surveillance for Healthcare Workers Exposed to Hazardous Drugs (Publication No. 2013-103).</w:t>
        </w:r>
      </w:hyperlink>
    </w:p>
    <w:p>
      <w:r>
        <w:t>Note: CDC/NIOSH guidance is cited for medical-surveillance technique only — India has no direct equivalent at this level of detail. Staff health checks are additionally governed, where applicable, by the Factories Act, 1948.</w:t>
      </w:r>
    </w:p>
    <w:p>
      <w:pPr>
        <w:pStyle w:val="Heading2"/>
      </w:pPr>
      <w:r>
        <w:t>5.3 Treatment for workplace injuries</w:t>
      </w:r>
    </w:p>
    <w:p>
      <w:r>
        <w:rPr>
          <w:b/>
          <w:i/>
        </w:rPr>
        <w:t xml:space="preserve">Why this step matters: </w:t>
      </w:r>
      <w:r>
        <w:rPr>
          <w:i/>
        </w:rPr>
        <w:t>An untreated needle-stick or patient-transport injury is how a manageable exposure turns into a serious outcome. NABH checks this as part of how a genuinely competent, safe workforce is actually built and kept, not just what's written about it.</w:t>
      </w:r>
    </w:p>
    <w:p>
      <w:r>
        <w:t>1. Treatment is provided to staff who sustain a workplace-related injury — for example a needle-stick injury, a back injury from patient transport, or noise-related hearing impairment — see the technical source below.</w:t>
      </w:r>
    </w:p>
    <w:p>
      <w:r>
        <w:t>2. Treatment includes counselling where appropriate, not just physical first aid.</w:t>
      </w:r>
    </w:p>
    <w:p>
      <w:r>
        <w:t>3. An injury resulting from workplace violence is included and treated under this same provision, not excluded on a technicality. (Record 5)</w:t>
      </w:r>
    </w:p>
    <w:p>
      <w:r>
        <w:rPr>
          <w:b/>
          <w:i/>
          <w:sz w:val="18"/>
        </w:rPr>
        <w:t xml:space="preserve">Technical source(s) for these steps: </w:t>
      </w:r>
    </w:p>
    <w:p>
      <w:pPr>
        <w:pStyle w:val="ListParagraph"/>
      </w:pPr>
      <w:hyperlink r:id="rId11">
        <w:r>
          <w:rPr>
            <w:color w:val="0563C1"/>
            <w:u w:val="single"/>
          </w:rPr>
          <w:t>Occupational Safety and Health Administration. Bloodborne Pathogens — Evaluating and Controlling Exposure.</w:t>
        </w:r>
      </w:hyperlink>
    </w:p>
    <w:p>
      <w:pPr>
        <w:pStyle w:val="ListParagraph"/>
      </w:pPr>
      <w:r>
        <w:t>Note: OSHA bloodborne-pathogens guidance is cited for exposure-control technique only. The Bio-Medical Waste Management Rules, 2016 is the applicable Indian regulatory reference for sharps and infectious-exposure handling, alongside this guidance.</w:t>
      </w:r>
    </w:p>
    <w:p>
      <w:pPr>
        <w:pStyle w:val="Heading2"/>
      </w:pPr>
      <w:r>
        <w:t>5.4 Workplace violence prevention and handling</w:t>
      </w:r>
    </w:p>
    <w:p>
      <w:r>
        <w:rPr>
          <w:b/>
          <w:i/>
        </w:rPr>
        <w:t xml:space="preserve">Why this step matters: </w:t>
      </w:r>
      <w:r>
        <w:rPr>
          <w:i/>
        </w:rPr>
        <w:t>Workplace violence left unaddressed escalates and drives staff attrition — NABH treats prevention and handling of it as CORE. This is a CORE requirement — NABH treats it as non-negotiable, not aspirational.</w:t>
      </w:r>
    </w:p>
    <w:p>
      <w:r>
        <w:t>1. Prevention uses an integrative, participative approach: a workplace risk assessment identifies situations of special risk before an incident, not only after one — see the technical source below.</w:t>
      </w:r>
    </w:p>
    <w:p>
      <w:r>
        <w:t>2. Workplace interventions (information and communication) and environmental interventions (signage, security, restricted access) are put in place based on that risk assessment.</w:t>
      </w:r>
    </w:p>
    <w:p>
      <w:r>
        <w:t>3. Individual interventions — specifically training — are provided to staff in higher-risk roles or areas.</w:t>
      </w:r>
    </w:p>
    <w:p>
      <w:r>
        <w:t>4. A mechanism handles an actual workplace-violence event when it happens, including liaison with law enforcement where applicable, and counselling is offered to affected staff. (Records 6–8)</w:t>
      </w:r>
    </w:p>
    <w:p>
      <w:r>
        <w:rPr>
          <w:b/>
          <w:i/>
          <w:sz w:val="18"/>
        </w:rPr>
        <w:t xml:space="preserve">Technical source(s) for these steps: </w:t>
      </w:r>
    </w:p>
    <w:p>
      <w:pPr>
        <w:pStyle w:val="ListParagraph"/>
      </w:pPr>
      <w:hyperlink r:id="rId12">
        <w:r>
          <w:rPr>
            <w:color w:val="0563C1"/>
            <w:u w:val="single"/>
          </w:rPr>
          <w:t>Occupational Safety and Health Administration. Worker Safety in Hospitals — Preventing Workplace Violence in Healthcare.</w:t>
        </w:r>
      </w:hyperlink>
    </w:p>
    <w:p>
      <w:r>
        <w:t>Note: OSHA guidance is cited because India has no central law or detailed prevention/training guidance on workplace violence in healthcare — only individual state-level Acts (e.g. Maharashtra, Karnataka) that criminalise violence against healthcare workers, which address penalties, not prevention or training. [Hospital to confirm whether a state-specific Medicare Service Persons Act applies here and cite it alongside this.]</w:t>
      </w:r>
    </w:p>
    <w:p>
      <w:pPr>
        <w:pStyle w:val="Heading1"/>
      </w:pPr>
      <w:r>
        <w:t>6. Records</w:t>
      </w:r>
    </w:p>
    <w:p>
      <w:r>
        <w:t>This SOP produces and maintains Records 1 through 8 (see the HRM.9 Records folder).</w:t>
      </w:r>
    </w:p>
    <w:p>
      <w:pPr>
        <w:pStyle w:val="Heading1"/>
      </w:pPr>
      <w:r>
        <w:t>7. Related Documents</w:t>
      </w:r>
    </w:p>
    <w:p>
      <w:pPr>
        <w:pStyle w:val="ListParagraph"/>
      </w:pPr>
      <w:r>
        <w:t>Policy on Staff Health and Safety (HCO/HRM/POL/09) — this policy</w:t>
      </w:r>
    </w:p>
    <w:p>
      <w:pPr>
        <w:pStyle w:val="ListParagraph"/>
      </w:pPr>
      <w:r>
        <w:t>Required Records — HRM.9 (see HRM.9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HRM.9.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niosh/index.html" TargetMode="External"/><Relationship Id="rId10" Type="http://schemas.openxmlformats.org/officeDocument/2006/relationships/hyperlink" Target="https://www.cdc.gov/niosh/docs/wp-solutions/2013-103/pdfs/2013-103.pdf" TargetMode="External"/><Relationship Id="rId11" Type="http://schemas.openxmlformats.org/officeDocument/2006/relationships/hyperlink" Target="https://www.osha.gov/bloodborne-pathogens/evaluating-controlling-exposure" TargetMode="External"/><Relationship Id="rId12" Type="http://schemas.openxmlformats.org/officeDocument/2006/relationships/hyperlink" Target="https://www.osha.gov/hospitals/workplace-viol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