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Medication Order Writing Standards</w:t>
      </w:r>
    </w:p>
    <w:p>
      <w:r>
        <w:t>«Hospital Name» — Supports MOM.5.a through MOM.5.d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writes inpatient medication orders in one uniform location, legibly, and without banned shorthand.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writes inpatient medication orders in one uniform location, legibly, and without banned shorthand.</w:t>
      </w:r>
    </w:p>
    <w:p>
      <w:pPr>
        <w:pStyle w:val="Heading1"/>
      </w:pPr>
      <w:r>
        <w:t>2. Scope</w:t>
      </w:r>
    </w:p>
    <w:p>
      <w:r>
        <w:t>Applies to every inpatient medication order.</w:t>
      </w:r>
    </w:p>
    <w:p>
      <w:pPr>
        <w:pStyle w:val="Heading1"/>
      </w:pPr>
      <w:r>
        <w:t>3. Responsibility</w:t>
      </w:r>
    </w:p>
    <w:p>
      <w:r>
        <w:t xml:space="preserve">Order-Writing Clinician: </w:t>
      </w:r>
      <w:r>
        <w:t>writes every order in the correct location, legibly, and with a fresh order for any modification.</w:t>
      </w:r>
    </w:p>
    <w:p>
      <w:pPr>
        <w:pStyle w:val="Heading1"/>
      </w:pPr>
      <w:r>
        <w:t>4. Procedure</w:t>
      </w:r>
    </w:p>
    <w:p>
      <w:r>
        <w:rPr>
          <w:b/>
          <w:i/>
        </w:rPr>
        <w:t>Why this step matters: An order scattered across different locations, or written in shorthand only the writer understands, is how the wrong dose gets administered by someone who genuinely believed they read it correctly.</w:t>
      </w:r>
      <w:r>
        <w:rPr>
          <w:i/>
        </w:rPr>
      </w:r>
    </w:p>
    <w:p>
      <w:r>
        <w:t>1. Confirm you are authorised to write orders — MBBS-minimum or a documented statutory/government-order basis — before writing one.</w:t>
      </w:r>
    </w:p>
    <w:p>
      <w:r>
        <w:t>2. Write every order in the single uniform location, with patient name and unique ID, and administer only from that location.</w:t>
      </w:r>
    </w:p>
    <w:p>
      <w:r>
        <w:t>3. Never use shorthand phrases such as 'CST' or 'repeat all' — write out each order in full.</w:t>
      </w:r>
    </w:p>
    <w:p>
      <w:r>
        <w:t>4. To modify an order, write a fresh order — never strike through or overwrite the old one.</w:t>
      </w:r>
    </w:p>
    <w:p>
      <w:r>
        <w:t>5. Write in capital letters if handwriting, use only the approved abbreviation list, and never use an error-prone abbreviation.</w:t>
      </w:r>
    </w:p>
    <w:p>
      <w:r>
        <w:t>6. Write separate, separately timed orders for different strengths of the same drug — except for vitamin and/or mineral combinations, which may be ordered together.</w:t>
      </w:r>
    </w:p>
    <w:p>
      <w:r>
        <w:t>7. If you receive an incomplete order from another prescriber, do not fill the gap yourself — contact them directly for clarification.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Institute for Safe Medication Practices. (2024). ISMP list of error-prone abbreviations, symbols, and dose designations.</w:t>
        </w:r>
      </w:hyperlink>
    </w:p>
    <w:p>
      <w:pPr>
        <w:pStyle w:val="Heading1"/>
      </w:pPr>
      <w:r>
        <w:t>5. Records</w:t>
      </w:r>
    </w:p>
    <w:p>
      <w:r>
        <w:t>Supported by all 5 records in the MOM.5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Uniform Medication Orders (HCO/MOM/POL/05) — MOM.5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ISMP — List of Error-Prone Abbreviations, Symbols, and Dose Designations</w:t>
        </w:r>
      </w:hyperlink>
    </w:p>
    <w:p>
      <w:pPr>
        <w:pStyle w:val="Heading1"/>
      </w:pPr>
      <w:r>
        <w:t>8. Review</w:t>
      </w:r>
    </w:p>
    <w:p>
      <w:r>
        <w:t>Reviewed annually, and immediately after any order-transcription error.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mp.org/system/files/resources/2024-04/ISMP_ErrorProneAbbreviation_List.pdf" TargetMode="External"/><Relationship Id="rId10" Type="http://schemas.openxmlformats.org/officeDocument/2006/relationships/hyperlink" Target="https://nabh.co/programmes/hospitals-accreditation-programme-hco/" TargetMode="External"/><Relationship Id="rId11" Type="http://schemas.openxmlformats.org/officeDocument/2006/relationships/hyperlink" Target="https://home.ecri.org/blogs/ismp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