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Universal Medication Labelling</w:t>
      </w:r>
    </w:p>
    <w:p>
      <w:r>
        <w:t>«Hospital Name» — Supports MOM.6.d (CORE, 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labels every dispensed medication — inpatient and outpatient, including reconstituted drugs, cut strips, and bulk containers — so a medication is never administered from an unlabelled source.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labels every dispensed medication — inpatient and outpatient, including reconstituted drugs, cut strips, and bulk containers — so a medication is never administered from an unlabelled source.</w:t>
      </w:r>
    </w:p>
    <w:p>
      <w:pPr>
        <w:pStyle w:val="Heading1"/>
      </w:pPr>
      <w:r>
        <w:t>2. Scope</w:t>
      </w:r>
    </w:p>
    <w:p>
      <w:r>
        <w:t>Applies to every medication dispensed anywhere in the hospital, for every patient type.</w:t>
      </w:r>
    </w:p>
    <w:p>
      <w:pPr>
        <w:pStyle w:val="Heading1"/>
      </w:pPr>
      <w:r>
        <w:t>3. Responsibility</w:t>
      </w:r>
    </w:p>
    <w:p>
      <w:r>
        <w:t xml:space="preserve">Dispensing Pharmacist / Nurse: </w:t>
      </w:r>
      <w:r>
        <w:t>labels every dispensed unit before it leaves their hands.</w:t>
      </w:r>
    </w:p>
    <w:p>
      <w:pPr>
        <w:pStyle w:val="Heading1"/>
      </w:pPr>
      <w:r>
        <w:t>4. Procedure</w:t>
      </w:r>
    </w:p>
    <w:p>
      <w:r>
        <w:rPr>
          <w:b/>
          <w:i/>
        </w:rPr>
        <w:t>Why this step matters: An unlabelled syringe or cut strip looks identical to a dozen others on the same tray — the label is the only thing standing between the right medication and a fatal mix-up.</w:t>
      </w:r>
      <w:r>
        <w:rPr>
          <w:i/>
        </w:rPr>
      </w:r>
    </w:p>
    <w:p>
      <w:r>
        <w:t>1. Label every dispensed medication for both inpatients and outpatients — labelling scope is universal, not outpatient-only.</w:t>
      </w:r>
    </w:p>
    <w:p>
      <w:r>
        <w:t>2. Label reconstituted drugs — including chemotherapy medications — with drug name, strength, and preparation/expiry time immediately after reconstitution, before leaving the preparation area.</w:t>
      </w:r>
    </w:p>
    <w:p>
      <w:r>
        <w:t>3. Label cut strips and bulk containers with drug name, strength, and expiry date, in addition to dosage instructions — a cut strip is never dispensed without its own label.</w:t>
      </w:r>
    </w:p>
    <w:p>
      <w:r>
        <w:t>4. Never rely on the original manufacturer packaging alone once a strip is cut or a bulk container is subdivided.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The Joint Commission. (2025). National Patient Safety Goals: Effective January 2025 for the Hospital Program (NPSG.03.04.01).</w:t>
        </w:r>
      </w:hyperlink>
    </w:p>
    <w:p>
      <w:pPr>
        <w:pStyle w:val="Heading1"/>
      </w:pPr>
      <w:r>
        <w:t>5.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dispense or administer any medication — including a reconstituted drug, a cut strip, or a bulk-container portion — without a complete label attached to that specific unit. Any staff member who finds an unlabelled dispensed medication stops its use immediately and returns it for correct labelling — this is never a disciplinary matter.</w:t>
      </w:r>
    </w:p>
    <w:p>
      <w:pPr>
        <w:pStyle w:val="Heading1"/>
      </w:pPr>
      <w:r>
        <w:t>6. Records</w:t>
      </w:r>
    </w:p>
    <w:p>
      <w:r>
        <w:t>Supported by Record 4 of the MOM.6 Required Records pack: Universal Labelling Audit.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Safe Dispensing of Medications (HCO/MOM/POL/06) — MOM.6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ISMP — List of Confused Drug Names</w:t>
        </w:r>
      </w:hyperlink>
    </w:p>
    <w:p>
      <w:pPr>
        <w:pStyle w:val="Heading1"/>
      </w:pPr>
      <w:r>
        <w:t>9. Review</w:t>
      </w:r>
    </w:p>
    <w:p>
      <w:r>
        <w:t>Reviewed annually, and immediately after any unlabelled-medication near miss or error.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gitalassets.jointcommission.org/api/public/content/9be383450fc941df806b76c5fbdd9ae6?v=3c600c3a" TargetMode="External"/><Relationship Id="rId10" Type="http://schemas.openxmlformats.org/officeDocument/2006/relationships/hyperlink" Target="https://nabh.co/programmes/hospitals-accreditation-programme-hco/" TargetMode="External"/><Relationship Id="rId11" Type="http://schemas.openxmlformats.org/officeDocument/2006/relationships/hyperlink" Target="https://home.ecri.org/blogs/ismp-resources/list-of-confused-drug-na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