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IV Line and Tubing Safety — Preventing Misconnection</w:t>
      </w:r>
    </w:p>
    <w:p>
      <w:r>
        <w:t>«Hospital Name» — Supports MOM.7.h (CORE, Stop-Work)</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SOP describes how «Hospital Name» prevents a fatal tubing misconnection — the wrong-route delivery of a medication, feed, or fluid caused by connecting the wrong line. If you're new to this SOP, the short version is: follow the numbered steps below in order — they exist because skipping one of them is exactly how a real gap or a real medication-safety incident happens, not because NABH likes paperwork for its own sake.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SOP describes how «Hospital Name» prevents a fatal tubing misconnection — the wrong-route delivery of a medication, feed, or fluid caused by connecting the wrong line.</w:t>
      </w:r>
    </w:p>
    <w:p>
      <w:pPr>
        <w:pStyle w:val="Heading1"/>
      </w:pPr>
      <w:r>
        <w:t>2. Scope</w:t>
      </w:r>
    </w:p>
    <w:p>
      <w:r>
        <w:t>Applies to every patient with more than one line or tube in place — IV, epidural, enteral feeding, drain, or central line.</w:t>
      </w:r>
    </w:p>
    <w:p>
      <w:pPr>
        <w:pStyle w:val="Heading1"/>
      </w:pPr>
      <w:r>
        <w:t>3. Responsibility</w:t>
      </w:r>
    </w:p>
    <w:p>
      <w:r>
        <w:t xml:space="preserve">Registered Nurse / Doctor: </w:t>
      </w:r>
      <w:r>
        <w:t>traces every line before connecting or reconnecting anything to it.</w:t>
      </w:r>
    </w:p>
    <w:p>
      <w:pPr>
        <w:pStyle w:val="Heading1"/>
      </w:pPr>
      <w:r>
        <w:t>4. Procedure</w:t>
      </w:r>
    </w:p>
    <w:p>
      <w:r>
        <w:rPr>
          <w:b/>
          <w:i/>
        </w:rPr>
        <w:t>Why this step matters: A misconnected line delivers a medication, feed, or fluid by the wrong route entirely — tracing every line before connecting it is the only thing that catches a misconnection before it reaches the patient, not after.</w:t>
      </w:r>
      <w:r>
        <w:rPr>
          <w:i/>
        </w:rPr>
      </w:r>
    </w:p>
    <w:p>
      <w:r>
        <w:t>1. Trace a line from the patient to its origin before every connection or reconnection — never assume a line's identity from its location or appearance alone.</w:t>
      </w:r>
    </w:p>
    <w:p>
      <w:r>
        <w:t>2. Position dissimilar tubes away from each other wherever the patient has more than one type of line — physical separation reduces the chance of grabbing the wrong one.</w:t>
      </w:r>
    </w:p>
    <w:p>
      <w:r>
        <w:t>3. Where the hospital's equipment includes ENFit or other ISO 80369-series application-specific connectors, use them as intended — never force an adapter to bridge two systems that are not meant to connect.</w:t>
      </w:r>
    </w:p>
    <w:p>
      <w:r>
        <w:t>4. Label each line at the patient end where multiple lines are present, to support quick, accurate tracing during handover or an emergency.</w:t>
      </w:r>
    </w:p>
    <w:p>
      <w:r>
        <w:rPr>
          <w:b/>
          <w:i/>
          <w:sz w:val="18"/>
        </w:rPr>
        <w:t xml:space="preserve">Technical source(s) for these steps: </w:t>
      </w:r>
    </w:p>
    <w:p>
      <w:pPr>
        <w:pStyle w:val="ListParagraph"/>
      </w:pPr>
      <w:hyperlink r:id="rId9">
        <w:r>
          <w:rPr>
            <w:color w:val="0563C1"/>
            <w:u w:val="single"/>
          </w:rPr>
          <w:t>Institute for Safe Medication Practices / ECRI. (n.d.). Take action to prevent tubing misconnections, part II.</w:t>
        </w:r>
      </w:hyperlink>
    </w:p>
    <w:p>
      <w:pPr>
        <w:pStyle w:val="ListParagraph"/>
      </w:pPr>
      <w:hyperlink r:id="rId10">
        <w:r>
          <w:rPr>
            <w:color w:val="0563C1"/>
            <w:u w:val="single"/>
          </w:rPr>
          <w:t>Global Enteral Device Supplier Association. (n.d.). Stay Connected: Guidance on ISO 80369-3 ENFit connectors.</w:t>
        </w:r>
      </w:hyperlink>
    </w:p>
    <w:p>
      <w:pPr>
        <w:pStyle w:val="Heading1"/>
      </w:pPr>
      <w:r>
        <w:t>5. Stop-Work Authority</w:t>
      </w:r>
    </w:p>
    <w:p>
      <w:r>
        <w:t>Any staff member covered by this SOP has the explicit right to pause or refuse to proceed with an unsafe step described below — this is not a disciplinary matter, even if it later turns out the step would have been fine.</w:t>
      </w:r>
    </w:p>
    <w:p>
      <w:r>
        <w:t>Do not use an IV extension tube for an epidural, irrigation line, drain, central line, or enteric feeding tube — this substitution is prohibited absolutely, with no exception. Do not connect or reconnect any line without tracing it first, from the patient to its origin. Any staff member who sees an improper connection stops the connection immediately and corrects it — this is never a disciplinary matter.</w:t>
      </w:r>
    </w:p>
    <w:p>
      <w:pPr>
        <w:pStyle w:val="Heading1"/>
      </w:pPr>
      <w:r>
        <w:t>6. Records</w:t>
      </w:r>
    </w:p>
    <w:p>
      <w:r>
        <w:t>Supported by Record 8 of the MOM.7 Required Records pack: IV Line Trace &amp; Tubing Safety Log.</w:t>
      </w:r>
    </w:p>
    <w:p>
      <w:pPr>
        <w:pStyle w:val="Heading1"/>
      </w:pPr>
      <w:r>
        <w:t>7. Related Documents</w:t>
      </w:r>
    </w:p>
    <w:p>
      <w:pPr>
        <w:pStyle w:val="ListParagraph"/>
      </w:pPr>
      <w:r>
        <w:t>Policy on Safe Administration of Medications (HCO/MOM/POL/07) — MOM.7 policy</w:t>
      </w:r>
    </w:p>
    <w:p>
      <w:pPr>
        <w:pStyle w:val="Heading1"/>
      </w:pPr>
      <w:r>
        <w:t>8. Where This SOP's Requirements Come From (Verified Sources)</w:t>
      </w:r>
    </w:p>
    <w:p>
      <w:pPr>
        <w:pStyle w:val="ListParagraph"/>
      </w:pPr>
      <w:hyperlink r:id="rId11">
        <w:r>
          <w:rPr>
            <w:color w:val="0563C1"/>
            <w:u w:val="single"/>
          </w:rPr>
          <w:t>NABH — Hospitals Accreditation Programme (HCO), 6th Edition standards</w:t>
        </w:r>
      </w:hyperlink>
    </w:p>
    <w:p>
      <w:pPr>
        <w:pStyle w:val="ListParagraph"/>
      </w:pPr>
      <w:hyperlink r:id="rId12">
        <w:r>
          <w:rPr>
            <w:color w:val="0563C1"/>
            <w:u w:val="single"/>
          </w:rPr>
          <w:t>GEDSA — ISO 80369 Series / ENFit Small-Bore Connector Standard</w:t>
        </w:r>
      </w:hyperlink>
    </w:p>
    <w:p>
      <w:pPr>
        <w:pStyle w:val="Heading1"/>
      </w:pPr>
      <w:r>
        <w:t>9. Review</w:t>
      </w:r>
    </w:p>
    <w:p>
      <w:r>
        <w:t>Reviewed annually, and immediately after any tubing-misconnection near miss or event.</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me.ecri.org/blogs/ismp-alerts-and-articles-library/take-action-to-prevent-tubing-misconnections-part-ii" TargetMode="External"/><Relationship Id="rId10" Type="http://schemas.openxmlformats.org/officeDocument/2006/relationships/hyperlink" Target="https://stayconnected.org/" TargetMode="External"/><Relationship Id="rId11" Type="http://schemas.openxmlformats.org/officeDocument/2006/relationships/hyperlink" Target="https://nabh.co/programmes/hospitals-accreditation-programme-hco/" TargetMode="External"/><Relationship Id="rId12" Type="http://schemas.openxmlformats.org/officeDocument/2006/relationships/hyperlink" Target="https://stayconnected.org/enf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