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2"/>
        </w:rPr>
        <w:t>Standard Operating Procedure</w:t>
      </w:r>
    </w:p>
    <w:p>
      <w:r>
        <w:rPr>
          <w:b/>
          <w:sz w:val="26"/>
        </w:rPr>
        <w:t>Medication Administration — Patient, Order and Timing Verification</w:t>
      </w:r>
    </w:p>
    <w:p>
      <w:r>
        <w:t>«Hospital Name» — Supports MOM.7.a (Stop-Work), MOM.7.c (Stop-Work), MOM.7.d (CORE, Stop-Work), MOM.7.e, MOM.7.f, MOM.7.g</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this SOP exist? (read this first if you're new)</w:t>
            </w:r>
          </w:p>
          <w:p>
            <w:r>
              <w:rPr>
                <w:sz w:val="20"/>
              </w:rPr>
              <w:t>This SOP describes how «Hospital Name» verifies the patient, the order, the strength, the route, and the timing before every medication administration. If you're new to this SOP, the short version is: follow the numbered steps below in order — they exist because skipping one of them is exactly how a real gap or a real medication-safety incident happens, not because NABH likes paperwork for its own sake.</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420"/>
        <w:gridCol w:w="2420"/>
        <w:gridCol w:w="2420"/>
        <w:gridCol w:w="2420"/>
      </w:tblGrid>
      <w:tr>
        <w:tc>
          <w:tcPr>
            <w:tcW w:type="dxa" w:w="2420"/>
            <w:shd w:val="clear" w:fill="D9E2F3"/>
          </w:tcPr>
          <w:p>
            <w:r/>
            <w:r>
              <w:rPr>
                <w:b/>
                <w:sz w:val="20"/>
              </w:rPr>
              <w:t>SOP No.</w:t>
            </w:r>
          </w:p>
        </w:tc>
        <w:tc>
          <w:tcPr>
            <w:tcW w:type="dxa" w:w="2420"/>
          </w:tcPr>
          <w:p>
            <w:r/>
            <w:r>
              <w:rPr>
                <w:b w:val="0"/>
                <w:sz w:val="20"/>
              </w:rPr>
              <w:t>[Hospital to define]</w:t>
            </w:r>
          </w:p>
        </w:tc>
        <w:tc>
          <w:tcPr>
            <w:tcW w:type="dxa" w:w="2420"/>
            <w:shd w:val="clear" w:fill="D9E2F3"/>
          </w:tcPr>
          <w:p>
            <w:r/>
            <w:r>
              <w:rPr>
                <w:b/>
                <w:sz w:val="20"/>
              </w:rPr>
              <w:t>Version</w:t>
            </w:r>
          </w:p>
        </w:tc>
        <w:tc>
          <w:tcPr>
            <w:tcW w:type="dxa" w:w="2420"/>
          </w:tcPr>
          <w:p>
            <w:r/>
            <w:r>
              <w:rPr>
                <w:b w:val="0"/>
                <w:sz w:val="20"/>
              </w:rPr>
              <w:t>1.0</w:t>
            </w:r>
          </w:p>
        </w:tc>
      </w:tr>
      <w:tr>
        <w:tc>
          <w:tcPr>
            <w:tcW w:type="dxa" w:w="2420"/>
            <w:shd w:val="clear" w:fill="D9E2F3"/>
          </w:tcPr>
          <w:p>
            <w:r/>
            <w:r>
              <w:rPr>
                <w:b/>
                <w:sz w:val="20"/>
              </w:rPr>
              <w:t>Effective Date</w:t>
            </w:r>
          </w:p>
        </w:tc>
        <w:tc>
          <w:tcPr>
            <w:tcW w:type="dxa" w:w="2420"/>
          </w:tcPr>
          <w:p>
            <w:r/>
            <w:r>
              <w:rPr>
                <w:b w:val="0"/>
                <w:sz w:val="20"/>
              </w:rPr>
              <w:t>________</w:t>
            </w:r>
          </w:p>
        </w:tc>
        <w:tc>
          <w:tcPr>
            <w:tcW w:type="dxa" w:w="2420"/>
            <w:shd w:val="clear" w:fill="D9E2F3"/>
          </w:tcPr>
          <w:p>
            <w:r/>
            <w:r>
              <w:rPr>
                <w:b/>
                <w:sz w:val="20"/>
              </w:rPr>
              <w:t>Review Frequency</w:t>
            </w:r>
          </w:p>
        </w:tc>
        <w:tc>
          <w:tcPr>
            <w:tcW w:type="dxa" w:w="2420"/>
          </w:tcPr>
          <w:p>
            <w:r/>
            <w:r>
              <w:rPr>
                <w:b w:val="0"/>
                <w:sz w:val="20"/>
              </w:rPr>
              <w:t>Annual, or on change</w:t>
            </w:r>
          </w:p>
        </w:tc>
      </w:tr>
      <w:tr>
        <w:tc>
          <w:tcPr>
            <w:tcW w:type="dxa" w:w="2420"/>
            <w:shd w:val="clear" w:fill="D9E2F3"/>
          </w:tcPr>
          <w:p>
            <w:r/>
            <w:r>
              <w:rPr>
                <w:b/>
                <w:sz w:val="20"/>
              </w:rPr>
              <w:t>Prepared By</w:t>
            </w:r>
          </w:p>
        </w:tc>
        <w:tc>
          <w:tcPr>
            <w:tcW w:type="dxa" w:w="7260"/>
            <w:gridSpan w:val="3"/>
          </w:tcPr>
          <w:p>
            <w:r/>
            <w:r>
              <w:rPr>
                <w:b w:val="0"/>
                <w:sz w:val="20"/>
              </w:rPr>
              <w:t>Quality Coordinator   Name: ________   Signature: ________</w:t>
            </w:r>
          </w:p>
        </w:tc>
      </w:tr>
      <w:tr>
        <w:tc>
          <w:tcPr>
            <w:tcW w:type="dxa" w:w="2420"/>
            <w:shd w:val="clear" w:fill="D9E2F3"/>
          </w:tcPr>
          <w:p>
            <w:r/>
            <w:r>
              <w:rPr>
                <w:b/>
                <w:sz w:val="20"/>
              </w:rPr>
              <w:t>Approved By</w:t>
            </w:r>
          </w:p>
        </w:tc>
        <w:tc>
          <w:tcPr>
            <w:tcW w:type="dxa" w:w="7260"/>
            <w:gridSpan w:val="3"/>
          </w:tcPr>
          <w:p>
            <w:r/>
            <w:r>
              <w:rPr>
                <w:b w:val="0"/>
                <w:sz w:val="20"/>
              </w:rPr>
              <w:t>Medical Superintendent   Name: ________   Signature: ________</w:t>
            </w:r>
          </w:p>
        </w:tc>
      </w:tr>
    </w:tbl>
    <w:p>
      <w:pPr>
        <w:pStyle w:val="Heading1"/>
      </w:pPr>
      <w:r>
        <w:t>1. Purpose</w:t>
      </w:r>
    </w:p>
    <w:p>
      <w:r>
        <w:t>This SOP describes how «Hospital Name» verifies the patient, the order, the strength, the route, and the timing before every medication administration.</w:t>
      </w:r>
    </w:p>
    <w:p>
      <w:pPr>
        <w:pStyle w:val="Heading1"/>
      </w:pPr>
      <w:r>
        <w:t>2. Scope</w:t>
      </w:r>
    </w:p>
    <w:p>
      <w:r>
        <w:t>Applies to every medication administration, in every clinical area.</w:t>
      </w:r>
    </w:p>
    <w:p>
      <w:pPr>
        <w:pStyle w:val="Heading1"/>
      </w:pPr>
      <w:r>
        <w:t>3. Responsibility</w:t>
      </w:r>
    </w:p>
    <w:p>
      <w:r>
        <w:t xml:space="preserve">Registered Nurse / Administering Doctor: </w:t>
      </w:r>
      <w:r>
        <w:t>carries out every verification step before administration, with no exception.</w:t>
      </w:r>
    </w:p>
    <w:p>
      <w:pPr>
        <w:pStyle w:val="Heading1"/>
      </w:pPr>
      <w:r>
        <w:t>4. Procedure</w:t>
      </w:r>
    </w:p>
    <w:p>
      <w:r>
        <w:rPr>
          <w:b/>
          <w:i/>
        </w:rPr>
        <w:t>Why this step matters: This is the last verification point before a medication physically reaches the patient — every earlier check in the chain can be correct, and a slip here still causes harm.</w:t>
      </w:r>
      <w:r>
        <w:rPr>
          <w:i/>
        </w:rPr>
      </w:r>
    </w:p>
    <w:p>
      <w:r>
        <w:t>1. Confirm you are a registered nurse or MBBS-minimum doctor, or hold a documented statutory basis, before administering any medication.</w:t>
      </w:r>
    </w:p>
    <w:p>
      <w:r>
        <w:t>2. Verify the patient using two identifiers — full name and the unique identification number — before every administration. Bed number alone is never acceptable, even when the ward is quiet and the bed is familiar.</w:t>
      </w:r>
    </w:p>
    <w:p>
      <w:r>
        <w:t>3. Verify the order is complete against all five parameters — name, strength, route, frequency, time — before administering. If any parameter is missing, defer administration and clarify with the prescriber; never adjust or guess the missing parameter yourself.</w:t>
      </w:r>
    </w:p>
    <w:p>
      <w:r>
        <w:t>4. For high-risk medications, complete an independent two-staff verification, with both staff documenting the check separately.</w:t>
      </w:r>
    </w:p>
    <w:p>
      <w:r>
        <w:t>5. Verify strength against the order immediately before administering; if a discrepancy is found, defer and clarify — never adjust at the bedside.</w:t>
      </w:r>
    </w:p>
    <w:p>
      <w:r>
        <w:t>6. Verify route (and site, where applicable) against the order before administering.</w:t>
      </w:r>
    </w:p>
    <w:p>
      <w:r>
        <w:t>7. Verify timing against the order; where the order uses a frequency code only, confirm and document the correct clock time from the hospital's standard schedule.</w:t>
      </w:r>
    </w:p>
    <w:p>
      <w:r>
        <w:t>8. Document every administration immediately after giving it, in the uniform location, as a separate entry for each dose.</w:t>
      </w:r>
    </w:p>
    <w:p>
      <w:r>
        <w:rPr>
          <w:b/>
          <w:i/>
          <w:sz w:val="18"/>
        </w:rPr>
        <w:t xml:space="preserve">Technical source(s) for these steps: </w:t>
      </w:r>
    </w:p>
    <w:p>
      <w:pPr>
        <w:pStyle w:val="ListParagraph"/>
      </w:pPr>
      <w:hyperlink r:id="rId9">
        <w:r>
          <w:rPr>
            <w:color w:val="0563C1"/>
            <w:u w:val="single"/>
          </w:rPr>
          <w:t>The Joint Commission. (2025). National Patient Safety Goals: Effective January 2025 for the Hospital Program (NPSG.01.01.01).</w:t>
        </w:r>
      </w:hyperlink>
    </w:p>
    <w:p>
      <w:pPr>
        <w:pStyle w:val="ListParagraph"/>
      </w:pPr>
      <w:hyperlink r:id="rId10">
        <w:r>
          <w:rPr>
            <w:color w:val="0563C1"/>
            <w:u w:val="single"/>
          </w:rPr>
          <w:t>Institute for Safe Medication Practices. (2024). ISMP list of high-alert medications in acute care settings.</w:t>
        </w:r>
      </w:hyperlink>
    </w:p>
    <w:p>
      <w:pPr>
        <w:pStyle w:val="Heading1"/>
      </w:pPr>
      <w:r>
        <w:t>5. Stop-Work Authority</w:t>
      </w:r>
    </w:p>
    <w:p>
      <w:r>
        <w:t>Any staff member covered by this SOP has the explicit right to pause or refuse to proceed with an unsafe step described below — this is not a disciplinary matter, even if it later turns out the step would have been fine.</w:t>
      </w:r>
    </w:p>
    <w:p>
      <w:r>
        <w:t>Do not administer medication if you are not a registered nurse, MBBS-minimum doctor, or otherwise authorised by statute. Do not administer without completing two-identifier patient verification — bed number alone is never sufficient. Do not administer against an incomplete order — defer and clarify instead of filling in the gap yourself. Raising a verification gap before administering is never a disciplinary matter, for any staff member regardless of seniority.</w:t>
      </w:r>
    </w:p>
    <w:p>
      <w:pPr>
        <w:pStyle w:val="Heading1"/>
      </w:pPr>
      <w:r>
        <w:t>6. Records</w:t>
      </w:r>
    </w:p>
    <w:p>
      <w:r>
        <w:t>Supported by Records 1, 3, 4, 5, 6, 7, and 9 of the MOM.7 Required Records pack.</w:t>
      </w:r>
    </w:p>
    <w:p>
      <w:pPr>
        <w:pStyle w:val="Heading1"/>
      </w:pPr>
      <w:r>
        <w:t>7. Related Documents</w:t>
      </w:r>
    </w:p>
    <w:p>
      <w:pPr>
        <w:pStyle w:val="ListParagraph"/>
      </w:pPr>
      <w:r>
        <w:t>Policy on Safe Administration of Medications (HCO/MOM/POL/07) — MOM.7 policy</w:t>
      </w:r>
    </w:p>
    <w:p>
      <w:pPr>
        <w:pStyle w:val="ListParagraph"/>
      </w:pPr>
      <w:r>
        <w:t>SOP — IV Line and Tubing Safety (MOM.7.h)</w:t>
      </w:r>
    </w:p>
    <w:p>
      <w:pPr>
        <w:pStyle w:val="Heading1"/>
      </w:pPr>
      <w:r>
        <w:t>8. Where This SOP's Requirements Come From (Verified Sources)</w:t>
      </w:r>
    </w:p>
    <w:p>
      <w:pPr>
        <w:pStyle w:val="ListParagraph"/>
      </w:pPr>
      <w:hyperlink r:id="rId11">
        <w:r>
          <w:rPr>
            <w:color w:val="0563C1"/>
            <w:u w:val="single"/>
          </w:rPr>
          <w:t>NABH — Hospitals Accreditation Programme (HCO), 6th Edition standards</w:t>
        </w:r>
      </w:hyperlink>
    </w:p>
    <w:p>
      <w:pPr>
        <w:pStyle w:val="Heading1"/>
      </w:pPr>
      <w:r>
        <w:t>9. Review</w:t>
      </w:r>
    </w:p>
    <w:p>
      <w:r>
        <w:t>Reviewed annually, and immediately after any administration-related adverse event.</w:t>
      </w:r>
    </w:p>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digitalassets.jointcommission.org/api/public/content/9be383450fc941df806b76c5fbdd9ae6?v=3c600c3a" TargetMode="External"/><Relationship Id="rId10" Type="http://schemas.openxmlformats.org/officeDocument/2006/relationships/hyperlink" Target="https://www.ismp.org/system/files/resources/2024-01/2024%20High-Alert%20medications%20List.pdf" TargetMode="External"/><Relationship Id="rId11" Type="http://schemas.openxmlformats.org/officeDocument/2006/relationships/hyperlink" Target="https://nabh.co/programmes/hospitals-accreditation-programme-hc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