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Chemotherapy and Radiopharmaceutical Handling</w:t>
      </w:r>
    </w:p>
    <w:p>
      <w:r>
        <w:t>«Hospital Name» — Supports MOM.9.b, MOM.9.c, MOM.9.d, MOM.9.e (chemotherapy/radiopharmaceuticals)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prepares and handles chemotherapy and radiopharmaceutical agents safely, protecting both patients and staff. If you're new to this SOP, the short version is: follow the numbered steps below in order — they exist because skipping one of them is exactly how a real gap or a real medication-safety incident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prepares and handles chemotherapy and radiopharmaceutical agents safely, protecting both patients and staff.</w:t>
      </w:r>
    </w:p>
    <w:p>
      <w:pPr>
        <w:pStyle w:val="Heading1"/>
      </w:pPr>
      <w:r>
        <w:t>2. Scope</w:t>
      </w:r>
    </w:p>
    <w:p>
      <w:r>
        <w:t>Applies to every chemotherapy and radiopharmaceutical agent prepared or administered at the hospital.</w:t>
      </w:r>
    </w:p>
    <w:p>
      <w:pPr>
        <w:pStyle w:val="Heading1"/>
      </w:pPr>
      <w:r>
        <w:t>3. Responsibility</w:t>
      </w:r>
    </w:p>
    <w:p>
      <w:r>
        <w:t xml:space="preserve">Medical Oncologist / Authorised Prescriber: </w:t>
      </w:r>
      <w:r>
        <w:t>prescribes with demonstrated competency in the relevant agent.</w:t>
      </w:r>
    </w:p>
    <w:p>
      <w:r>
        <w:t xml:space="preserve">Trained Onco-Pharmacist / Authorised Caregiver: </w:t>
      </w:r>
      <w:r>
        <w:t>prepares and administers using required safety equipment.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Narcotic/Psychotropic: </w:t>
      </w:r>
      <w:r>
        <w:t>Controlled substances (like strong painkillers or sedatives) that carry extra legal storage, dispensing and record-keeping requirements because of their potential for misuse.</w:t>
      </w:r>
    </w:p>
    <w:p>
      <w:pPr>
        <w:pStyle w:val="Heading1"/>
      </w:pPr>
      <w:r>
        <w:t>5. Procedure</w:t>
      </w:r>
    </w:p>
    <w:p>
      <w:pPr>
        <w:pStyle w:val="Heading2"/>
      </w:pPr>
      <w:r>
        <w:t>5.1 Chemotherapy</w:t>
      </w:r>
    </w:p>
    <w:p>
      <w:r>
        <w:rPr>
          <w:b/>
          <w:i/>
        </w:rPr>
        <w:t>Why this step matters: A cytotoxic drug prepared outside a biosafety cabinet, or by someone without hazardous-drug training, is a direct exposure risk to the person preparing it, not just the patient receiving it.</w:t>
      </w:r>
      <w:r>
        <w:rPr>
          <w:i/>
        </w:rPr>
      </w:r>
    </w:p>
    <w:p>
      <w:r>
        <w:t>1. Confirm the prescriber has demonstrated knowledge and competency in chemotherapy — preferably a medical oncologist.</w:t>
      </w:r>
    </w:p>
    <w:p>
      <w:r>
        <w:t>2. Prepare chemotherapy only in a Class II biosafety cabinet (preferably Class IIA), with appropriate personal protective equipment.</w:t>
      </w:r>
    </w:p>
    <w:p>
      <w:r>
        <w:t>3. Confirm preparation staff have received special training in hazardous drug handling before assigning them to this duty.</w:t>
      </w:r>
    </w:p>
    <w:p>
      <w:r>
        <w:t>4. Handle chemotherapy waste and spills per the hospital's hazardous-drug procedure, referencing the current NIOSH hazardous drug classification for the agent.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American Society of Health-System Pharmacists. (2018). ASHP guidelines on handling hazardous drugs. American Journal of Health-System Pharmacy.</w:t>
        </w:r>
      </w:hyperlink>
    </w:p>
    <w:p>
      <w:pPr>
        <w:pStyle w:val="ListParagraph"/>
      </w:pPr>
      <w:hyperlink r:id="rId10">
        <w:r>
          <w:rPr>
            <w:color w:val="0563C1"/>
            <w:u w:val="single"/>
          </w:rPr>
          <w:t>National Institute for Occupational Safety and Health. (2024). NIOSH list of hazardous drugs in healthcare settings, 2024 (DHHS Publication No. 2025-103).</w:t>
        </w:r>
      </w:hyperlink>
    </w:p>
    <w:p>
      <w:pPr>
        <w:pStyle w:val="Heading2"/>
      </w:pPr>
      <w:r>
        <w:t>5.2 Radiopharmaceuticals</w:t>
      </w:r>
    </w:p>
    <w:p>
      <w:r>
        <w:rPr>
          <w:b/>
          <w:i/>
        </w:rPr>
        <w:t>Why this step matters: An unauthorised or unshielded handling of a radioactive agent is a regulatory breach and a radiation-exposure risk at the same time — AERB authorisation and proper shielding are both non-negotiable, not a documentation formality.</w:t>
      </w:r>
      <w:r>
        <w:rPr>
          <w:i/>
        </w:rPr>
      </w:r>
    </w:p>
    <w:p>
      <w:r>
        <w:t>1. Confirm the caregiver preparing or administering a radiopharmaceutical is authorised under applicable AERB regulations.</w:t>
      </w:r>
    </w:p>
    <w:p>
      <w:r>
        <w:t>2. Store and label radiopharmaceuticals per regulatory requirements, with radiation shielding appropriate to the isotope.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Atomic Energy Regulatory Board, Government of India. (2011). Nuclear medicine facilities (Code No. AERB/RF-MED/SC-2, Rev. 2).</w:t>
        </w:r>
      </w:hyperlink>
    </w:p>
    <w:p>
      <w:pPr>
        <w:pStyle w:val="Heading2"/>
      </w:pPr>
      <w:r>
        <w:t>5.3 Disposal</w:t>
      </w:r>
    </w:p>
    <w:p>
      <w:r>
        <w:rPr>
          <w:b/>
          <w:i/>
        </w:rPr>
        <w:t>Why this step matters: Chemotherapy and radiopharmaceutical waste each carry a different hazard — mixing the two streams turns a containable risk into two uncontained ones.</w:t>
      </w:r>
      <w:r>
        <w:rPr>
          <w:i/>
        </w:rPr>
      </w:r>
    </w:p>
    <w:p>
      <w:r>
        <w:t>1. Dispose of chemotherapy and radiopharmaceutical waste per applicable statutory requirements, keeping the two waste streams separate.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American Society of Health-System Pharmacists. (2018). ASHP guidelines on handling hazardous drugs. American Journal of Health-System Pharmacy.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Atomic Energy Regulatory Board, Government of India. (2011). Nuclear medicine facilities (Code No. AERB/RF-MED/SC-2, Rev. 2).</w:t>
        </w:r>
      </w:hyperlink>
    </w:p>
    <w:p>
      <w:pPr>
        <w:pStyle w:val="Heading1"/>
      </w:pPr>
      <w:r>
        <w:t>6. Records</w:t>
      </w:r>
    </w:p>
    <w:p>
      <w:r>
        <w:t>Supported by Records 2, 4, and 6 of the MOM.9 Required Records pack.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Narcotics, Psychotropics, Chemotherapy and Radio-pharmaceuticals (HCO/MOM/POL/09) — MOM.9 policy</w:t>
      </w:r>
    </w:p>
    <w:p>
      <w:pPr>
        <w:pStyle w:val="ListParagraph"/>
      </w:pPr>
      <w:r>
        <w:t>SOP — Narcotic and Psychotropic Drug Handling (MOM.9)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12">
        <w:r>
          <w:rPr>
            <w:color w:val="0563C1"/>
            <w:u w:val="single"/>
          </w:rPr>
          <w:t>NABH — Hospitals Accreditation Programme (HCO), 6th Edition standards</w:t>
        </w:r>
      </w:hyperlink>
    </w:p>
    <w:p>
      <w:pPr>
        <w:pStyle w:val="ListParagraph"/>
      </w:pPr>
      <w:hyperlink r:id="rId13">
        <w:r>
          <w:rPr>
            <w:color w:val="0563C1"/>
            <w:u w:val="single"/>
          </w:rPr>
          <w:t>NIOSH — List of Hazardous Drugs in Healthcare Settings, 2024</w:t>
        </w:r>
      </w:hyperlink>
    </w:p>
    <w:p>
      <w:pPr>
        <w:pStyle w:val="ListParagraph"/>
      </w:pPr>
      <w:hyperlink r:id="rId14">
        <w:r>
          <w:rPr>
            <w:color w:val="0563C1"/>
            <w:u w:val="single"/>
          </w:rPr>
          <w:t>Atomic Energy Regulatory Board, Government of India. (2011). Nuclear medicine facilities (Code No. AERB/RF-MED/SC-2, Rev. 2).</w:t>
        </w:r>
      </w:hyperlink>
    </w:p>
    <w:p>
      <w:pPr>
        <w:pStyle w:val="Heading1"/>
      </w:pPr>
      <w:r>
        <w:t>9. Review</w:t>
      </w:r>
    </w:p>
    <w:p>
      <w:r>
        <w:t>Reviewed annually, and immediately after any chemotherapy spill or preparation-related exposure incident.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shp.org/-/media/assets/policy-guidelines/docs/guidelines/handling-hazardous-drugs.ashx" TargetMode="External"/><Relationship Id="rId10" Type="http://schemas.openxmlformats.org/officeDocument/2006/relationships/hyperlink" Target="https://www.cdc.gov/niosh/docs/2025-103/pdfs/2025-103.pdf" TargetMode="External"/><Relationship Id="rId11" Type="http://schemas.openxmlformats.org/officeDocument/2006/relationships/hyperlink" Target="https://www.aerb.gov.in/images/PDF/CodesGuides/RadiationFacility/MedicalApplicationsInvolvingRadiation/3.pdf" TargetMode="External"/><Relationship Id="rId12" Type="http://schemas.openxmlformats.org/officeDocument/2006/relationships/hyperlink" Target="https://nabh.co/programmes/hospitals-accreditation-programme-hco/" TargetMode="External"/><Relationship Id="rId13" Type="http://schemas.openxmlformats.org/officeDocument/2006/relationships/hyperlink" Target="https://www.cdc.gov/niosh/publications/hcp/numbered/2025-103.html" TargetMode="External"/><Relationship Id="rId14" Type="http://schemas.openxmlformats.org/officeDocument/2006/relationships/hyperlink" Target="https://aerb.gov.in/english/publication/codes-guides/radiation-facility/medical-applications-involving-radi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