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COP.1.a — The organization has a uniform process for identification of patients and at a minimum, uses two identifiers.</w:t>
      </w:r>
    </w:p>
    <w:p>
      <w:r>
        <w:t>COP.1 Record 01 — Two-identifier confirmation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act of care happened.</w:t>
      </w:r>
    </w:p>
    <w:p>
      <w:pPr>
        <w:pStyle w:val="ListParagraph"/>
      </w:pPr>
      <w:r>
        <w:t>Patient (Identifier 1) / UID (Identifier 2): The two identifiers confirmed.</w:t>
      </w:r>
    </w:p>
    <w:p>
      <w:pPr>
        <w:pStyle w:val="ListParagraph"/>
      </w:pPr>
      <w:r>
        <w:t>Act of Care: Medication, procedure, specimen collection, transfusion, transfer, etc.</w:t>
      </w:r>
    </w:p>
    <w:p>
      <w:pPr>
        <w:pStyle w:val="ListParagraph"/>
      </w:pPr>
      <w:r>
        <w:t>Confirmed By: Staff member who confirmed both identifiers.</w:t>
      </w:r>
    </w:p>
    <w:p>
      <w:pPr>
        <w:pStyle w:val="ListParagraph"/>
      </w:pPr>
      <w:r>
        <w:t>Setting: Which department/ward this happened in.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staff actually confirmed two real identifiers -- not a bed number -- before every act of care, not just that a policy says they should.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nurse logs this before giving IV medication. The worked example shows both identifiers confirmed and recorded, not just a bed number noted.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location-based identifier (bed, room, tray) can be occupied by a different patient than intended -- this log is how the hospital proves identification actually happened against the person, not the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Act of Care</w:t>
            </w:r>
          </w:p>
        </w:tc>
        <w:tc>
          <w:tcPr>
            <w:tcW w:type="dxa" w:w="1728"/>
          </w:tcPr>
          <w:p>
            <w:r>
              <w:t>Confirmed By</w:t>
            </w:r>
          </w:p>
        </w:tc>
        <w:tc>
          <w:tcPr>
            <w:tcW w:type="dxa" w:w="1728"/>
          </w:tcPr>
          <w:p>
            <w:r>
              <w:t>Setting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14-Feb-2026, 9:40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Priya Mehta / UID-00482</w:t>
            </w:r>
          </w:p>
        </w:tc>
        <w:tc>
          <w:tcPr>
            <w:tcW w:type="dxa" w:w="1728"/>
            <w:shd w:val="clear" w:color="auto" w:fill="FFF2CC"/>
          </w:tcPr>
          <w:p>
            <w:r>
              <w:t>IV medication administration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R. Fernandes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Ward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