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COP.1.b — Care shall be provided in consonance with applicable laws and regulations.</w:t>
      </w:r>
    </w:p>
    <w:p>
      <w:r>
        <w:t>COP.1 Record 02 — Applicable-law list and review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Law/Regulation: The specific law or regulation listed as applicable.</w:t>
      </w:r>
    </w:p>
    <w:p>
      <w:pPr>
        <w:pStyle w:val="ListParagraph"/>
      </w:pPr>
      <w:r>
        <w:t>Service(s) It Applies To: Which services in the directory this law governs.</w:t>
      </w:r>
    </w:p>
    <w:p>
      <w:pPr>
        <w:pStyle w:val="ListParagraph"/>
      </w:pPr>
      <w:r>
        <w:t>Date Added/Reviewed: When this entry was added or last reviewed.</w:t>
      </w:r>
    </w:p>
    <w:p>
      <w:pPr>
        <w:pStyle w:val="ListParagraph"/>
      </w:pPr>
      <w:r>
        <w:t>Trigger: New service, service change, or scheduled review.</w:t>
      </w:r>
    </w:p>
    <w:p>
      <w:pPr>
        <w:pStyle w:val="ListParagraph"/>
      </w:pPr>
      <w:r>
        <w:t>Reviewed By: Who performed the review.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hospital's own list of which laws actually apply to the services it provides, kept current as those services change -- not a generic list copied from somewhere else.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Administration reviews this whenever a service is added or withdrawn. The worked example shows a scheduled annual review.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law list that was never updated after a service changed tells staff they are compliant with rules that may no longer be the ones that actually govern what the hospital is doing today.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Law/Regulation</w:t>
            </w:r>
          </w:p>
        </w:tc>
        <w:tc>
          <w:tcPr>
            <w:tcW w:type="dxa" w:w="1728"/>
          </w:tcPr>
          <w:p>
            <w:r>
              <w:t>Service(s) It Applies To</w:t>
            </w:r>
          </w:p>
        </w:tc>
        <w:tc>
          <w:tcPr>
            <w:tcW w:type="dxa" w:w="1728"/>
          </w:tcPr>
          <w:p>
            <w:r>
              <w:t>Date Added/Reviewed</w:t>
            </w:r>
          </w:p>
        </w:tc>
        <w:tc>
          <w:tcPr>
            <w:tcW w:type="dxa" w:w="1728"/>
          </w:tcPr>
          <w:p>
            <w:r>
              <w:t>Trigger</w:t>
            </w:r>
          </w:p>
        </w:tc>
        <w:tc>
          <w:tcPr>
            <w:tcW w:type="dxa" w:w="1728"/>
          </w:tcPr>
          <w:p>
            <w:r>
              <w:t>Reviewed By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Clinical Establishments (Registration and Regulation) Act, 2010</w:t>
            </w:r>
          </w:p>
        </w:tc>
        <w:tc>
          <w:tcPr>
            <w:tcW w:type="dxa" w:w="1728"/>
            <w:shd w:val="clear" w:color="auto" w:fill="FFF2CC"/>
          </w:tcPr>
          <w:p>
            <w:r>
              <w:t>All clinical services offered by the hospital</w:t>
            </w:r>
          </w:p>
        </w:tc>
        <w:tc>
          <w:tcPr>
            <w:tcW w:type="dxa" w:w="1728"/>
            <w:shd w:val="clear" w:color="auto" w:fill="FFF2CC"/>
          </w:tcPr>
          <w:p>
            <w:r>
              <w:t>10-Jan-2026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Scheduled annual review</w:t>
            </w:r>
          </w:p>
        </w:tc>
        <w:tc>
          <w:tcPr>
            <w:tcW w:type="dxa" w:w="1728"/>
            <w:shd w:val="clear" w:color="auto" w:fill="FFF2CC"/>
          </w:tcPr>
          <w:p>
            <w:r>
              <w:t>Administrator K. Shah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