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COP.1.e — Telemedicine facility is provided safely and securely based on written guidance.</w:t>
      </w:r>
    </w:p>
    <w:p>
      <w:r>
        <w:t>COP.1 Record 05 — Telemedicine consultation log (or written decision record)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consultation happened.</w:t>
      </w:r>
    </w:p>
    <w:p>
      <w:pPr>
        <w:pStyle w:val="ListParagraph"/>
      </w:pPr>
      <w:r>
        <w:t>Patient (UID) / Practitioner: Both parties' identities confirmed.</w:t>
      </w:r>
    </w:p>
    <w:p>
      <w:pPr>
        <w:pStyle w:val="ListParagraph"/>
      </w:pPr>
      <w:r>
        <w:t>Consent Obtained? (Y/N): Whether informed consent was recorded.</w:t>
      </w:r>
    </w:p>
    <w:p>
      <w:pPr>
        <w:pStyle w:val="ListParagraph"/>
      </w:pPr>
      <w:r>
        <w:t>Mode/Platform: Phone, video, messaging platform used.</w:t>
      </w:r>
    </w:p>
    <w:p>
      <w:pPr>
        <w:pStyle w:val="ListParagraph"/>
      </w:pPr>
      <w:r>
        <w:t>Outcome: Advice given, prescription issued, or directed to in-person care (e.g., emergency).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COP.1.</w:t>
      </w:r>
    </w:p>
    <w:p>
      <w:pPr>
        <w:pStyle w:val="ListParagraph"/>
        <w:spacing w:before="80" w:after="240"/>
        <w:contextualSpacing w:val="0"/>
      </w:pPr>
      <w:r>
        <w:t xml:space="preserve">• Board of Governors (in supersession of the Medical Council of India). (2020). </w:t>
      </w:r>
      <w:hyperlink r:id="rId10">
        <w:r>
          <w:rPr>
            <w:color w:val="0563C1"/>
            <w:u w:val="single"/>
          </w:rPr>
          <w:t>Telemedicine Practice Guidelines, 2020</w:t>
        </w:r>
      </w:hyperlink>
      <w:r>
        <w:t>. Appendix 5 of the Indian Medical Council (Professional Conduct, Etiquette and Ethics) Regulations, 2002, Ministry of Health and Family Welfare. Referenced as the statutory basis for who may provide a telemedicine consultation, identity and consent requirements, prescription handling, emergency escalation, and record-keeping for a telemedicine facility.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every telemedicine consultation followed the written guidance -- identity confirmed, consent recorded, and filed against the patient's real medical record -- or, if the hospital does not offer telemedicine, the written decision saying so.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treating Registered Medical Practitioner logs this at the time of consultation. The worked example shows identity, consent and filing all completed.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Telemedicine removes the ordinary safeguards of a room -- the patient may not be who they say they are, the conversation may never get filed -- and the Telemedicine Practice Guidelines, 2020 exist specifically because that already went wrong in Indian practice before the Guidelines were issued.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(UID) / Practitioner</w:t>
            </w:r>
          </w:p>
        </w:tc>
        <w:tc>
          <w:tcPr>
            <w:tcW w:type="dxa" w:w="1728"/>
          </w:tcPr>
          <w:p>
            <w:r>
              <w:t>Consent Obtained? (Y/N)</w:t>
            </w:r>
          </w:p>
        </w:tc>
        <w:tc>
          <w:tcPr>
            <w:tcW w:type="dxa" w:w="1728"/>
          </w:tcPr>
          <w:p>
            <w:r>
              <w:t>Mode/Platform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18-Mar-2026, 4:15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Ramesh Patel (UID-00591) / Dr. A. Joshi, RMP Reg. No. 12345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Video consultation, hospital-approved platform</w:t>
            </w:r>
          </w:p>
        </w:tc>
        <w:tc>
          <w:tcPr>
            <w:tcW w:type="dxa" w:w="1728"/>
            <w:shd w:val="clear" w:color="auto" w:fill="FFF2CC"/>
          </w:tcPr>
          <w:p>
            <w:r>
              <w:t>Prescription issued and filed against UID-00591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covid19dashboard.mohfw.gov.in/pdf/Telemedicin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