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Continuity of Care, Handover and Internal Transfer</w:t>
      </w:r>
    </w:p>
    <w:p>
      <w:pPr>
        <w:spacing w:after="300"/>
        <w:jc w:val="center"/>
      </w:pPr>
      <w:r>
        <w:rPr>
          <w:i/>
          <w:iCs/>
          <w:sz w:val="20"/>
          <w:szCs w:val="20"/>
        </w:rPr>
        <w:t xml:space="preserve">(Mandatory System Documentation as per NABH SHCO 3rd Edition — AAC.7.a, AAC.7.b, AAC.7.c, AAC.7.d)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PREVIEW/AAC/POL-7</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AAC.7.a, AAC.7.b, AAC.7.c, AAC.7.d</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AAC.7.a</w:t>
            </w:r>
          </w:p>
        </w:tc>
        <w:tc>
          <w:tcPr>
            <w:tcW w:type="pct" w:w="45%"/>
          </w:tcPr>
          <w:p>
            <w:r>
              <w:rPr>
                <w:b w:val="false"/>
                <w:bCs w:val="false"/>
                <w:sz w:val="18"/>
                <w:szCs w:val="18"/>
              </w:rPr>
              <w:t xml:space="preserve">During all phases of care, a qualified individual is identified as responsible for the patient's care</w:t>
            </w:r>
          </w:p>
        </w:tc>
        <w:tc>
          <w:tcPr>
            <w:tcW w:type="pct" w:w="20%"/>
          </w:tcPr>
          <w:p>
            <w:r>
              <w:rPr>
                <w:b w:val="false"/>
                <w:bCs w:val="false"/>
                <w:sz w:val="18"/>
                <w:szCs w:val="18"/>
              </w:rPr>
              <w:t xml:space="preserve">Steps 1, 5</w:t>
            </w:r>
          </w:p>
        </w:tc>
        <w:tc>
          <w:tcPr>
            <w:tcW w:type="pct" w:w="20%"/>
          </w:tcPr>
          <w:p>
            <w:r>
              <w:rPr>
                <w:b w:val="false"/>
                <w:bCs w:val="false"/>
                <w:sz w:val="18"/>
                <w:szCs w:val="18"/>
              </w:rPr>
              <w:t xml:space="preserve">The named clinician remains responsible until another named individual has taken over; human-resource procedures verify professional registration; quality or accreditation coordinator audits</w:t>
            </w:r>
          </w:p>
        </w:tc>
      </w:tr>
      <w:tr>
        <w:tc>
          <w:tcPr>
            <w:tcW w:type="pct" w:w="15%"/>
          </w:tcPr>
          <w:p>
            <w:r>
              <w:rPr>
                <w:b w:val="false"/>
                <w:bCs w:val="false"/>
                <w:sz w:val="18"/>
                <w:szCs w:val="18"/>
              </w:rPr>
              <w:t xml:space="preserve">AAC.7.b</w:t>
            </w:r>
          </w:p>
        </w:tc>
        <w:tc>
          <w:tcPr>
            <w:tcW w:type="pct" w:w="45%"/>
          </w:tcPr>
          <w:p>
            <w:r>
              <w:rPr>
                <w:b w:val="false"/>
                <w:bCs w:val="false"/>
                <w:sz w:val="18"/>
                <w:szCs w:val="18"/>
              </w:rPr>
              <w:t xml:space="preserve">Information about the patient's care and response to treatment is shared among medical, nursing and other care-providers, including referrals to other departments</w:t>
            </w:r>
          </w:p>
        </w:tc>
        <w:tc>
          <w:tcPr>
            <w:tcW w:type="pct" w:w="20%"/>
          </w:tcPr>
          <w:p>
            <w:r>
              <w:rPr>
                <w:b w:val="false"/>
                <w:bCs w:val="false"/>
                <w:sz w:val="18"/>
                <w:szCs w:val="18"/>
              </w:rPr>
              <w:t xml:space="preserve">Steps 2, 5</w:t>
            </w:r>
          </w:p>
        </w:tc>
        <w:tc>
          <w:tcPr>
            <w:tcW w:type="pct" w:w="20%"/>
          </w:tcPr>
          <w:p>
            <w:r>
              <w:rPr>
                <w:b w:val="false"/>
                <w:bCs w:val="false"/>
                <w:sz w:val="18"/>
                <w:szCs w:val="18"/>
              </w:rPr>
              <w:t xml:space="preserve">Medical, nursing and other care-providers share information and record internal referrals; information-management policies own the record that holds it; quality or accreditation coordinator audits</w:t>
            </w:r>
          </w:p>
        </w:tc>
      </w:tr>
      <w:tr>
        <w:tc>
          <w:tcPr>
            <w:tcW w:type="pct" w:w="15%"/>
          </w:tcPr>
          <w:p>
            <w:r>
              <w:rPr>
                <w:b w:val="false"/>
                <w:bCs w:val="false"/>
                <w:sz w:val="18"/>
                <w:szCs w:val="18"/>
              </w:rPr>
              <w:t xml:space="preserve">AAC.7.c</w:t>
            </w:r>
          </w:p>
        </w:tc>
        <w:tc>
          <w:tcPr>
            <w:tcW w:type="pct" w:w="45%"/>
          </w:tcPr>
          <w:p>
            <w:r>
              <w:rPr>
                <w:b w:val="false"/>
                <w:bCs w:val="false"/>
                <w:sz w:val="18"/>
                <w:szCs w:val="18"/>
              </w:rPr>
              <w:t xml:space="preserve">Standardised hand-over communication is implemented during each staffing shift, between shifts and during transfers between units or departments</w:t>
            </w:r>
          </w:p>
        </w:tc>
        <w:tc>
          <w:tcPr>
            <w:tcW w:type="pct" w:w="20%"/>
          </w:tcPr>
          <w:p>
            <w:r>
              <w:rPr>
                <w:b w:val="false"/>
                <w:bCs w:val="false"/>
                <w:sz w:val="18"/>
                <w:szCs w:val="18"/>
              </w:rPr>
              <w:t xml:space="preserve">Steps 3, 4, 5</w:t>
            </w:r>
          </w:p>
        </w:tc>
        <w:tc>
          <w:tcPr>
            <w:tcW w:type="pct" w:w="20%"/>
          </w:tcPr>
          <w:p>
            <w:r>
              <w:rPr>
                <w:b w:val="false"/>
                <w:bCs w:val="false"/>
                <w:sz w:val="18"/>
                <w:szCs w:val="18"/>
              </w:rPr>
              <w:t xml:space="preserve">Nursing staff give and receive handover; sending and receiving units complete unit-to-unit handover before internal transfer; HIC.2 owns infection-control content of the handover; quality or accreditation coordinator audits</w:t>
            </w:r>
          </w:p>
        </w:tc>
      </w:tr>
      <w:tr>
        <w:tc>
          <w:tcPr>
            <w:tcW w:type="pct" w:w="15%"/>
          </w:tcPr>
          <w:p>
            <w:r>
              <w:rPr>
                <w:b w:val="false"/>
                <w:bCs w:val="false"/>
                <w:sz w:val="18"/>
                <w:szCs w:val="18"/>
              </w:rPr>
              <w:t xml:space="preserve">AAC.7.d</w:t>
            </w:r>
          </w:p>
        </w:tc>
        <w:tc>
          <w:tcPr>
            <w:tcW w:type="pct" w:w="45%"/>
          </w:tcPr>
          <w:p>
            <w:r>
              <w:rPr>
                <w:b w:val="false"/>
                <w:bCs w:val="false"/>
                <w:sz w:val="18"/>
                <w:szCs w:val="18"/>
              </w:rPr>
              <w:t xml:space="preserve">Patient transfer within the organisation is done safely</w:t>
            </w:r>
          </w:p>
        </w:tc>
        <w:tc>
          <w:tcPr>
            <w:tcW w:type="pct" w:w="20%"/>
          </w:tcPr>
          <w:p>
            <w:r>
              <w:rPr>
                <w:b w:val="false"/>
                <w:bCs w:val="false"/>
                <w:sz w:val="18"/>
                <w:szCs w:val="18"/>
              </w:rPr>
              <w:t xml:space="preserve">Steps 4, 5</w:t>
            </w:r>
          </w:p>
        </w:tc>
        <w:tc>
          <w:tcPr>
            <w:tcW w:type="pct" w:w="20%"/>
          </w:tcPr>
          <w:p>
            <w:r>
              <w:rPr>
                <w:b w:val="false"/>
                <w:bCs w:val="false"/>
                <w:sz w:val="18"/>
                <w:szCs w:val="18"/>
              </w:rPr>
              <w:t xml:space="preserve">Sending and receiving clinicians remain responsible until the receiving individual has accepted the patient; accompanying staff complete the checklist and monitor en route;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SBAR</w:t>
            </w:r>
          </w:p>
        </w:tc>
        <w:tc>
          <w:tcPr>
            <w:tcW w:type="pct" w:w="75%"/>
          </w:tcPr>
          <w:p>
            <w:r>
              <w:rPr>
                <w:b w:val="false"/>
                <w:bCs w:val="false"/>
                <w:sz w:val="18"/>
                <w:szCs w:val="18"/>
              </w:rPr>
              <w:t xml:space="preserve">Situation, Background, Assessment, Recommendation (a structured handover method in common use; permitted if chosen at step 3, not mandated)</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and OE.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Preview Hospital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Preview Hospital keeps patient care continuous and multidisciplinary: a named qualified individual responsible for the patient at every phase of care; sharing of information about care and response to treatment among medical, nursing and other care-providers, including referrals to other departments; standardised handover at every staffing shift, between shifts and during transfers between units; and safe transfer of a patient from one unit of this hospital to another.
A patient who changes shift, unit or clinician without a named person, without the information the next team needs, or without a safe move between units, is a patient whose care has stopped being continuous. This document is the process that prevents that.</w:t>
      </w:r>
    </w:p>
    <w:p>
      <w:pPr>
        <w:pStyle w:val="Heading1"/>
        <w:spacing w:after="150" w:before="300"/>
      </w:pPr>
      <w:r>
        <w:t xml:space="preserve">2. Scope</w:t>
      </w:r>
    </w:p>
    <w:p>
      <w:pPr>
        <w:spacing w:after="150"/>
      </w:pPr>
      <w:r>
        <w:rPr>
          <w:sz w:val="22"/>
          <w:szCs w:val="22"/>
        </w:rPr>
        <w:t xml:space="preserve">This policy applies to every location in which a patient of Preview Hospital is under care and from which that patient may move to another location inside this hospital: the emergency area, every in-patient ward, day-care, the operation theatre and recovery, intensive or high-dependency areas where they exist, and any diagnostic or procedural area that receives a patient from a unit. It binds the individual identified as responsible for the patient's care, the medical, nursing and other care-providers who share information and make internal referrals, the staff who give and receive handover, and the staff who accompany an internal transfer.
It covers identification of the responsible individual at every phase; sharing of information among providers, including referral to another department of this hospital; standardised hand-over communication during each staffing shift, between shifts and during transfers between units or departments; and safe transfer of a patient from one unit of Preview Hospital to another.
Boundaries with other policies of Preview Hospital:
- Transfer-in from another organisation, transfer-out to another organisation, and referral of a patient this hospital cannot accept, are governed by the registration, admission and transfer policy of Preview Hospital (AAC.2.f). This policy owns unit-to-unit movement inside this hospital (AAC.7.d). The two are not the same act. AAC.2 does not perform internal transfer; this document does not perform between-organisation transfer.
- Suitably qualified personnel standing behind a defined healthcare service — the roster and resourcing of a specialty — are governed by the definition-and-display policy of Preview Hospital (AAC.1.b). This policy owns the per-patient named individual identified as responsible for this patient's care at this phase. A service having qualified staff is not the same as a named person being responsible for this patient now.
- The transmission-based precaution category, when one is in force, must appear in the nursing handover under the infection-control policies of Preview Hospital (HIC.2). This policy owns the handover method. HIC.2 owns the infection-control content that must appear in it. Personal protective equipment, isolation rooms and the precaution assignment register are not restated here.
- The medical record itself — its contents, retention and confidentiality — is governed by the information-management policies of Preview Hospital. This policy owns what is communicated at handover, at referral between departments, and at internal transfer; it does not define the record.
- Initial assessment and the care plan are governed by the assessment policy of Preview Hospital. Discharge from the organisation is governed by the discharge policy of Preview Hospital.</w:t>
      </w:r>
    </w:p>
    <w:p>
      <w:pPr>
        <w:pStyle w:val="Heading1"/>
        <w:spacing w:after="150" w:before="300"/>
      </w:pPr>
      <w:r>
        <w:t xml:space="preserve">3. Policy Statement</w:t>
      </w:r>
    </w:p>
    <w:p>
      <w:pPr>
        <w:spacing w:after="150"/>
      </w:pPr>
      <w:r>
        <w:rPr>
          <w:sz w:val="22"/>
          <w:szCs w:val="22"/>
        </w:rPr>
        <w:t xml:space="preserve">Preview Hospital identifies a qualified individual as responsible for the patient's care during every phase of that care. A phase without a named person is a break in continuity.
Preview Hospital shares information about the patient's care and response to treatment among medical, nursing and other care-providers, including when the patient is referred to another department of this hospital.
Preview Hospital implements standardised hand-over communication during each staffing shift, between shifts, and during transfers between units or departments. The method is structured and written; it is not left to memory or to an unstructured conversation.
Preview Hospital transfers a patient from one unit of this hospital to another only when the receiving unit has accepted the patient, handover has been given, a checklist is complete, a named person accompanies the patient, and monitoring required en route is performed.
Preview Hospital treats an unidentified responsible person, an undocumented handover, or an unaccompanied internal move as a defect, not as a shortcut taken under pressure.</w:t>
      </w:r>
    </w:p>
    <w:p>
      <w:pPr>
        <w:pStyle w:val="Heading1"/>
        <w:spacing w:after="150" w:before="300"/>
      </w:pPr>
      <w:r>
        <w:t xml:space="preserve">4. Procedure</w:t>
      </w:r>
    </w:p>
    <w:p>
      <w:pPr>
        <w:spacing w:after="90" w:before="240"/>
      </w:pPr>
      <w:r>
        <w:rPr>
          <w:b/>
          <w:bCs/>
          <w:sz w:val="23"/>
          <w:szCs w:val="23"/>
        </w:rPr>
        <w:t xml:space="preserve">1. Named responsible individual at every phase (AAC.7.a)</w:t>
      </w:r>
    </w:p>
    <w:p>
      <w:pPr>
        <w:spacing w:after="120"/>
      </w:pPr>
      <w:r>
        <w:rPr>
          <w:sz w:val="22"/>
          <w:szCs w:val="22"/>
        </w:rPr>
        <w:t xml:space="preserve">During all phases of care, a qualified individual is identified as responsible for the patient's care. Qualification means registration with the professional council that governs the role: the National Medical Commission Act, 2019 and State Medical Council registration for doctors; the Indian Nursing Council Act, 1947 and State Nursing Council registration for nurses; and the corresponding councils for the other professions Preview Hospital employs. Human-resource procedures verify that registration; this step uses it.</w:t>
      </w:r>
    </w:p>
    <w:p>
      <w:pPr>
        <w:spacing w:after="120"/>
      </w:pPr>
      <w:r>
        <w:rPr>
          <w:sz w:val="22"/>
          <w:szCs w:val="22"/>
        </w:rPr>
        <w:t xml:space="preserve">The name and role of the responsible individual are recorded in the case record at each phase — at least: emergency care, admission to an in-patient or day-care area, any intra-operative or procedural phase, each in-patient unit, and until discharge or until another named individual takes over. When responsibility changes, the outgoing individual names the incoming individual and the change is recorded. A patient is not left without a named responsible individual because a shift ended or a unit changed.</w:t>
      </w:r>
    </w:p>
    <w:p>
      <w:pPr>
        <w:spacing w:after="120"/>
      </w:pPr>
      <w:r>
        <w:rPr>
          <w:sz w:val="22"/>
          <w:szCs w:val="22"/>
        </w:rPr>
        <w:t xml:space="preserve">How the responsible individual is identified at each phase — board, record field, handover sheet, or other method — is [Hospital to define — how the responsible individual is identified at each phase].</w:t>
      </w:r>
    </w:p>
    <w:p>
      <w:pPr>
        <w:spacing w:after="120"/>
      </w:pPr>
      <w:r>
        <w:rPr>
          <w:sz w:val="22"/>
          <w:szCs w:val="22"/>
        </w:rPr>
        <w:t xml:space="preserve">This is the per-patient named individual. It is not the AAC.1.b requirement that a defined service be backed by suitably qualified personnel.</w:t>
      </w:r>
    </w:p>
    <w:p>
      <w:pPr>
        <w:spacing w:after="90" w:before="240"/>
      </w:pPr>
      <w:r>
        <w:rPr>
          <w:b/>
          <w:bCs/>
          <w:sz w:val="23"/>
          <w:szCs w:val="23"/>
        </w:rPr>
        <w:t xml:space="preserve">2. Sharing information among providers, including internal referral (AAC.7.b)</w:t>
      </w:r>
    </w:p>
    <w:p>
      <w:pPr>
        <w:spacing w:after="120"/>
      </w:pPr>
      <w:r>
        <w:rPr>
          <w:sz w:val="22"/>
          <w:szCs w:val="22"/>
        </w:rPr>
        <w:t xml:space="preserve">Information about the patient's care and response to treatment is shared among medical, nursing and other care-providers, including referrals to other departments of Preview Hospital.</w:t>
      </w:r>
    </w:p>
    <w:p>
      <w:pPr>
        <w:spacing w:after="120"/>
      </w:pPr>
      <w:r>
        <w:rPr>
          <w:sz w:val="22"/>
          <w:szCs w:val="22"/>
        </w:rPr>
        <w:t xml:space="preserve">When a referral to another department is made, the referring clinician records the reason, the information sent, and the receiving department's response. The information shared includes at least the current or working diagnosis, significant findings, treatment already given and the response to it, and pending investigations.</w:t>
      </w:r>
    </w:p>
    <w:p>
      <w:pPr>
        <w:spacing w:after="120"/>
      </w:pPr>
      <w:r>
        <w:rPr>
          <w:sz w:val="22"/>
          <w:szCs w:val="22"/>
        </w:rPr>
        <w:t xml:space="preserve">How that information is shared — written referral, electronic order, joint round, or other method — and how an internal referral is recorded are [Hospital to define — how clinical information is shared among providers and how an internal referral is recorded].</w:t>
      </w:r>
    </w:p>
    <w:p>
      <w:pPr>
        <w:spacing w:after="120"/>
      </w:pPr>
      <w:r>
        <w:rPr>
          <w:sz w:val="22"/>
          <w:szCs w:val="22"/>
        </w:rPr>
        <w:t xml:space="preserve">The medical record that holds this information is governed by the information-management policies of Preview Hospital. This step owns that the information is communicated, not the design of the record.</w:t>
      </w:r>
    </w:p>
    <w:p>
      <w:pPr>
        <w:spacing w:after="90" w:before="240"/>
      </w:pPr>
      <w:r>
        <w:rPr>
          <w:b/>
          <w:bCs/>
          <w:sz w:val="23"/>
          <w:szCs w:val="23"/>
        </w:rPr>
        <w:t xml:space="preserve">3. Standardised handover at shift, between shifts, and between units (AAC.7.c)</w:t>
      </w:r>
    </w:p>
    <w:p>
      <w:pPr>
        <w:spacing w:after="120"/>
      </w:pPr>
      <w:r>
        <w:rPr>
          <w:sz w:val="22"/>
          <w:szCs w:val="22"/>
        </w:rPr>
        <w:t xml:space="preserve">Preview Hospital implements standardised hand-over communication during each staffing shift, between shifts, and during transfers between units or departments.</w:t>
      </w:r>
    </w:p>
    <w:p>
      <w:pPr>
        <w:spacing w:after="120"/>
      </w:pPr>
      <w:r>
        <w:rPr>
          <w:sz w:val="22"/>
          <w:szCs w:val="22"/>
        </w:rPr>
        <w:t xml:space="preserve">The structured method used at every such handover is [Hospital to define — the structured handover method used at every shift and at every unit-to-unit transfer]. This policy requires a structured method. It does not mandate a named proprietary or published tool. A method in common use, including SBAR, is permitted if Preview Hospital chooses it; it is not the only acceptable method, and it is not required.</w:t>
      </w:r>
    </w:p>
    <w:p>
      <w:pPr>
        <w:spacing w:after="120"/>
      </w:pPr>
      <w:r>
        <w:rPr>
          <w:sz w:val="22"/>
          <w:szCs w:val="22"/>
        </w:rPr>
        <w:t xml:space="preserve">The principle is that of the World Health Organization Patient Safety Solutions, Communication During Patient Hand-Overs (2007), cited in the chapter's own References list (items 1 and 6): information needed to continue care must travel with the patient and must be communicated in a standardised way.</w:t>
      </w:r>
    </w:p>
    <w:p>
      <w:pPr>
        <w:spacing w:after="120"/>
      </w:pPr>
      <w:r>
        <w:rPr>
          <w:sz w:val="22"/>
          <w:szCs w:val="22"/>
        </w:rPr>
        <w:t xml:space="preserve">Handover is recorded. The receiving staff confirm they have received it. Handover between units is performed before or at the moment of the internal transfer at step 4, using the same structured method.</w:t>
      </w:r>
    </w:p>
    <w:p>
      <w:pPr>
        <w:spacing w:after="120"/>
      </w:pPr>
      <w:r>
        <w:rPr>
          <w:sz w:val="22"/>
          <w:szCs w:val="22"/>
        </w:rPr>
        <w:t xml:space="preserve">The transmission-based precaution category, when one is in force, appears in the nursing handover because HIC.2 requires that content. This step owns the method into which that content is placed. Personal protective equipment, isolation practice and the precaution assignment register remain in HIC.2 and are not restated here.</w:t>
      </w:r>
    </w:p>
    <w:p>
      <w:pPr>
        <w:spacing w:after="90" w:before="240"/>
      </w:pPr>
      <w:r>
        <w:rPr>
          <w:b/>
          <w:bCs/>
          <w:sz w:val="23"/>
          <w:szCs w:val="23"/>
        </w:rPr>
        <w:t xml:space="preserve">4. Safe internal transfer (AAC.7.c, AAC.7.d)</w:t>
      </w:r>
    </w:p>
    <w:p>
      <w:pPr>
        <w:spacing w:after="120"/>
      </w:pPr>
      <w:r>
        <w:rPr>
          <w:sz w:val="22"/>
          <w:szCs w:val="22"/>
        </w:rPr>
        <w:t xml:space="preserve">Patient transfer within the organisation is done safely. This step is unit-to-unit movement inside Preview Hospital — emergency to ward, ward to intensive or high-dependency area, ward to operation theatre, theatre to recovery, recovery to ward, ward to a diagnostic or procedural area and back, and any other internal move. It is not AAC.2.f. AAC.2 owns transfer-in from another organisation, transfer-out to another organisation, and referral of a patient this hospital cannot accept. This step owns the move from one unit of this hospital to another.</w:t>
      </w:r>
    </w:p>
    <w:p>
      <w:pPr>
        <w:spacing w:after="120"/>
      </w:pPr>
      <w:r>
        <w:rPr>
          <w:sz w:val="22"/>
          <w:szCs w:val="22"/>
        </w:rPr>
        <w:t xml:space="preserve">Before the patient leaves the sending unit:</w:t>
      </w:r>
    </w:p>
    <w:p>
      <w:pPr>
        <w:pStyle w:val="ListParagraph"/>
        <w:numPr>
          <w:ilvl w:val="0"/>
          <w:numId w:val="1"/>
        </w:numPr>
        <w:spacing w:after="60"/>
      </w:pPr>
      <w:r>
        <w:rPr>
          <w:sz w:val="22"/>
          <w:szCs w:val="22"/>
        </w:rPr>
        <w:t xml:space="preserve">the receiving unit has accepted the patient and has a bed or space ready;</w:t>
      </w:r>
    </w:p>
    <w:p>
      <w:pPr>
        <w:pStyle w:val="ListParagraph"/>
        <w:numPr>
          <w:ilvl w:val="0"/>
          <w:numId w:val="1"/>
        </w:numPr>
        <w:spacing w:after="60"/>
      </w:pPr>
      <w:r>
        <w:rPr>
          <w:sz w:val="22"/>
          <w:szCs w:val="22"/>
        </w:rPr>
        <w:t xml:space="preserve">the named responsible individual at the sending unit and at the receiving unit are identified under step 1;</w:t>
      </w:r>
    </w:p>
    <w:p>
      <w:pPr>
        <w:pStyle w:val="ListParagraph"/>
        <w:numPr>
          <w:ilvl w:val="0"/>
          <w:numId w:val="1"/>
        </w:numPr>
        <w:spacing w:after="60"/>
      </w:pPr>
      <w:r>
        <w:rPr>
          <w:sz w:val="22"/>
          <w:szCs w:val="22"/>
        </w:rPr>
        <w:t xml:space="preserve">handover has been given under step 3;</w:t>
      </w:r>
    </w:p>
    <w:p>
      <w:pPr>
        <w:pStyle w:val="ListParagraph"/>
        <w:numPr>
          <w:ilvl w:val="0"/>
          <w:numId w:val="1"/>
        </w:numPr>
        <w:spacing w:after="60"/>
      </w:pPr>
      <w:r>
        <w:rPr>
          <w:sz w:val="22"/>
          <w:szCs w:val="22"/>
        </w:rPr>
        <w:t xml:space="preserve">an internal-transfer checklist is completed — [Hospital to define — the internal-transfer checklist], covering at least identity, current condition, ongoing treatment, monitoring required en route, equipment that travels with the patient, and infection-control status as already recorded under HIC.2;</w:t>
      </w:r>
    </w:p>
    <w:p>
      <w:pPr>
        <w:pStyle w:val="ListParagraph"/>
        <w:numPr>
          <w:ilvl w:val="0"/>
          <w:numId w:val="1"/>
        </w:numPr>
        <w:spacing w:after="60"/>
      </w:pPr>
      <w:r>
        <w:rPr>
          <w:sz w:val="22"/>
          <w:szCs w:val="22"/>
        </w:rPr>
        <w:t xml:space="preserve">who accompanies the patient is named — [Hospital to define — who accompanies an internal transfer, by patient condition];</w:t>
      </w:r>
    </w:p>
    <w:p>
      <w:pPr>
        <w:pStyle w:val="ListParagraph"/>
        <w:numPr>
          <w:ilvl w:val="0"/>
          <w:numId w:val="1"/>
        </w:numPr>
        <w:spacing w:after="60"/>
      </w:pPr>
      <w:r>
        <w:rPr>
          <w:sz w:val="22"/>
          <w:szCs w:val="22"/>
        </w:rPr>
        <w:t xml:space="preserve">monitoring required en route is stated and performed.</w:t>
      </w:r>
    </w:p>
    <w:p>
      <w:pPr>
        <w:spacing w:after="120"/>
      </w:pPr>
      <w:r>
        <w:rPr>
          <w:sz w:val="22"/>
          <w:szCs w:val="22"/>
        </w:rPr>
        <w:t xml:space="preserve">The transfer is recorded: time of leaving, time of arrival, who accompanied, and condition on arrival. A patient is not sent to find the receiving unit, and is not moved through public areas without the accompaniment and monitoring this step requires.</w:t>
      </w:r>
    </w:p>
    <w:p>
      <w:pPr>
        <w:spacing w:after="90" w:before="240"/>
      </w:pPr>
      <w:r>
        <w:rPr>
          <w:b/>
          <w:bCs/>
          <w:sz w:val="23"/>
          <w:szCs w:val="23"/>
        </w:rPr>
        <w:t xml:space="preserve">5. Records, review and the order of operations (AAC.7.a, AAC.7.b, AAC.7.c, AAC.7.d)</w:t>
      </w:r>
    </w:p>
    <w:p>
      <w:pPr>
        <w:spacing w:after="120"/>
      </w:pPr>
      <w:r>
        <w:rPr>
          <w:sz w:val="22"/>
          <w:szCs w:val="22"/>
        </w:rPr>
        <w:t xml:space="preserve">Every named responsible individual, every shared-information or internal-referral entry, every handover, and every internal transfer is recorded against the unique identification number issued at registration and is retrievable. The medical record itself is governed by the information-management policies of Preview Hospital.</w:t>
      </w:r>
    </w:p>
    <w:p>
      <w:pPr>
        <w:spacing w:after="120"/>
      </w:pPr>
      <w:r>
        <w:rPr>
          <w:sz w:val="22"/>
          <w:szCs w:val="22"/>
        </w:rPr>
        <w:t xml:space="preserve">The quality or accreditation coordinator audits a sample of these records at [Hospital to define — the audit interval for continuity, handover and internal-transfer records] for a named responsible individual at each phase, for internal referrals that show what was shared, for handover that used the structured method, and for internal transfers that show checklist, accompaniment, monitoring en route, and times.</w:t>
      </w:r>
    </w:p>
    <w:p>
      <w:pPr>
        <w:spacing w:after="120"/>
      </w:pPr>
      <w:r>
        <w:rPr>
          <w:sz w:val="22"/>
          <w:szCs w:val="22"/>
        </w:rPr>
        <w:t xml:space="preserve">This policy is reviewed at [Hospital to define — the review interval for this policy], and sooner when a handover or internal-transfer incident exposes a gap, or when the registration-and-transfer, infection-control or information-management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Preview Hospital identifying a responsible individual at every phase of care, for a working standardised handover, and for internal transfer that is performed as a clinical act rather than as a porterage.
The clinicians identified as responsible for a patient at step 1 remain responsible until another named individual has taken over, including during an internal transfer until the receiving individual has accepted the patient.
Nursing staff give and receive handover under the structured method at step 3, record it, and do not complete a shift or a unit-to-unit move without it.
The staff who accompany an internal transfer complete the checklist, perform the monitoring required en route, and hand the patient to the named receiving individual.
Medical, nursing and other care-providers share information and record internal referrals under step 2.
The quality or accreditation coordinator audits the records at step 5 and reports findings to the head of the institution.
All staff are expected to report a patient who had no named responsible individual, a handover that was unstructured, or an internal move that was improvised rather than performed under this policy.</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AAC.7.
- National Medical Commission Act, 2019 and State Medical Council registration; Indian Nursing Council Act, 1947 and State Nursing Council registration; and the corresponding councils for the other professions Preview Hospital employs — who may be identified as the qualified individual responsible for a patient's care.
- Clinical Establishments (Registration and Regulation) Act, 2010 and the rules under it, where adopted by the State — the duty to maintain records of patients; or the corresponding State clinical establishments or nursing home registration law where the 2010 Act is not in force.
- World Health Organization, Patient Safety Solutions, Communication During Patient Hand-Overs (2007) — cited in the chapter's own References list (items 1 and 6); the principle that information needed to continue care travels with the patient and is communicated in a standardised way. The structured method itself is chosen under step 3.
- Internal documents of Preview Hospital: the method for identifying the responsible individual; the internal-referral method; the structured handover method; the internal-transfer checklist; the registration, admission and transfer policy; the infection-control policies; the assessment policy; the discharge policy;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Preview Hospital, with the quality or accreditation coordinator.
Copies issued to: every in-patient ward; the emergency area; day-care; the operation theatre and recovery; nursing administration; every head of department; and whoever arranges internal transfer.
The current version is available to all staff at [Hospital to define — intranet location or nursing station folder]. The structured handover method and the internal-transfer checklist — the working documents this policy requires — are held at every unit that sends or receives a patient.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AAC.7.a — During all phases of care, a qualified individual is identified as responsible for the patient's care</w:t>
      </w:r>
    </w:p>
    <w:p>
      <w:pPr>
        <w:pStyle w:val="ListParagraph"/>
        <w:numPr>
          <w:ilvl w:val="0"/>
          <w:numId w:val="1"/>
        </w:numPr>
        <w:spacing w:after="60"/>
      </w:pPr>
      <w:r>
        <w:rPr>
          <w:sz w:val="22"/>
          <w:szCs w:val="22"/>
        </w:rPr>
        <w:t xml:space="preserve">The written method for identifying the responsible individual at each phase</w:t>
      </w:r>
    </w:p>
    <w:p>
      <w:pPr>
        <w:pStyle w:val="ListParagraph"/>
        <w:numPr>
          <w:ilvl w:val="0"/>
          <w:numId w:val="1"/>
        </w:numPr>
        <w:spacing w:after="60"/>
      </w:pPr>
      <w:r>
        <w:rPr>
          <w:sz w:val="22"/>
          <w:szCs w:val="22"/>
        </w:rPr>
        <w:t xml:space="preserve">sample case records showing the name and role recorded at emergency, admission, each in-patient unit and at any change of responsibility</w:t>
      </w:r>
    </w:p>
    <w:p>
      <w:pPr>
        <w:pStyle w:val="ListParagraph"/>
        <w:numPr>
          <w:ilvl w:val="0"/>
          <w:numId w:val="1"/>
        </w:numPr>
        <w:spacing w:after="60"/>
      </w:pPr>
      <w:r>
        <w:rPr>
          <w:sz w:val="22"/>
          <w:szCs w:val="22"/>
        </w:rPr>
        <w:t xml:space="preserve">records showing the incoming individual was named before the outgoing individual stood down</w:t>
      </w:r>
    </w:p>
    <w:p>
      <w:pPr>
        <w:pStyle w:val="ListParagraph"/>
        <w:numPr>
          <w:ilvl w:val="0"/>
          <w:numId w:val="1"/>
        </w:numPr>
        <w:spacing w:after="60"/>
      </w:pPr>
      <w:r>
        <w:rPr>
          <w:sz w:val="22"/>
          <w:szCs w:val="22"/>
        </w:rPr>
        <w:t xml:space="preserve">the audit sample at step 5 covering a named responsible individual at each phase</w:t>
      </w:r>
    </w:p>
    <w:p>
      <w:pPr>
        <w:spacing w:after="90" w:before="200"/>
      </w:pPr>
      <w:r>
        <w:rPr>
          <w:b/>
          <w:bCs/>
          <w:sz w:val="22"/>
          <w:szCs w:val="22"/>
        </w:rPr>
        <w:t xml:space="preserve">AAC.7.b — Information about the patient's care and response to treatment is shared among medical, nursing and other care-providers, including referrals to other departments</w:t>
      </w:r>
    </w:p>
    <w:p>
      <w:pPr>
        <w:pStyle w:val="ListParagraph"/>
        <w:numPr>
          <w:ilvl w:val="0"/>
          <w:numId w:val="1"/>
        </w:numPr>
        <w:spacing w:after="60"/>
      </w:pPr>
      <w:r>
        <w:rPr>
          <w:sz w:val="22"/>
          <w:szCs w:val="22"/>
        </w:rPr>
        <w:t xml:space="preserve">The written method for sharing clinical information and recording an internal referral</w:t>
      </w:r>
    </w:p>
    <w:p>
      <w:pPr>
        <w:pStyle w:val="ListParagraph"/>
        <w:numPr>
          <w:ilvl w:val="0"/>
          <w:numId w:val="1"/>
        </w:numPr>
        <w:spacing w:after="60"/>
      </w:pPr>
      <w:r>
        <w:rPr>
          <w:sz w:val="22"/>
          <w:szCs w:val="22"/>
        </w:rPr>
        <w:t xml:space="preserve">sample internal referrals showing reason, information sent (working diagnosis, findings, treatment and response, pending investigations) and receiving-department response</w:t>
      </w:r>
    </w:p>
    <w:p>
      <w:pPr>
        <w:pStyle w:val="ListParagraph"/>
        <w:numPr>
          <w:ilvl w:val="0"/>
          <w:numId w:val="1"/>
        </w:numPr>
        <w:spacing w:after="60"/>
      </w:pPr>
      <w:r>
        <w:rPr>
          <w:sz w:val="22"/>
          <w:szCs w:val="22"/>
        </w:rPr>
        <w:t xml:space="preserve">the audit sample at step 5 of internal referrals that show what was shared</w:t>
      </w:r>
    </w:p>
    <w:p>
      <w:pPr>
        <w:spacing w:after="90" w:before="200"/>
      </w:pPr>
      <w:r>
        <w:rPr>
          <w:b/>
          <w:bCs/>
          <w:sz w:val="22"/>
          <w:szCs w:val="22"/>
        </w:rPr>
        <w:t xml:space="preserve">AAC.7.c — Standardised hand-over communication is implemented during each staffing shift, between shifts and during transfers between units or departments</w:t>
      </w:r>
    </w:p>
    <w:p>
      <w:pPr>
        <w:pStyle w:val="ListParagraph"/>
        <w:numPr>
          <w:ilvl w:val="0"/>
          <w:numId w:val="1"/>
        </w:numPr>
        <w:spacing w:after="60"/>
      </w:pPr>
      <w:r>
        <w:rPr>
          <w:sz w:val="22"/>
          <w:szCs w:val="22"/>
        </w:rPr>
        <w:t xml:space="preserve">The written structured handover method used at every shift and at every unit-to-unit transfer, naming the method chosen and not treating any one published tool as mandatory</w:t>
      </w:r>
    </w:p>
    <w:p>
      <w:pPr>
        <w:pStyle w:val="ListParagraph"/>
        <w:numPr>
          <w:ilvl w:val="0"/>
          <w:numId w:val="1"/>
        </w:numPr>
        <w:spacing w:after="60"/>
      </w:pPr>
      <w:r>
        <w:rPr>
          <w:sz w:val="22"/>
          <w:szCs w:val="22"/>
        </w:rPr>
        <w:t xml:space="preserve">sample handover records with receiving-staff confirmation, spanning shift handover and unit-to-unit handover</w:t>
      </w:r>
    </w:p>
    <w:p>
      <w:pPr>
        <w:pStyle w:val="ListParagraph"/>
        <w:numPr>
          <w:ilvl w:val="0"/>
          <w:numId w:val="1"/>
        </w:numPr>
        <w:spacing w:after="60"/>
      </w:pPr>
      <w:r>
        <w:rPr>
          <w:sz w:val="22"/>
          <w:szCs w:val="22"/>
        </w:rPr>
        <w:t xml:space="preserve">records showing the HIC.2 precaution category appears in the nursing handover when one is in force, without this document restating PPE or isolation</w:t>
      </w:r>
    </w:p>
    <w:p>
      <w:pPr>
        <w:pStyle w:val="ListParagraph"/>
        <w:numPr>
          <w:ilvl w:val="0"/>
          <w:numId w:val="1"/>
        </w:numPr>
        <w:spacing w:after="60"/>
      </w:pPr>
      <w:r>
        <w:rPr>
          <w:sz w:val="22"/>
          <w:szCs w:val="22"/>
        </w:rPr>
        <w:t xml:space="preserve">the audit sample at step 5 of handover that used the structured method</w:t>
      </w:r>
    </w:p>
    <w:p>
      <w:pPr>
        <w:spacing w:after="90" w:before="200"/>
      </w:pPr>
      <w:r>
        <w:rPr>
          <w:b/>
          <w:bCs/>
          <w:sz w:val="22"/>
          <w:szCs w:val="22"/>
        </w:rPr>
        <w:t xml:space="preserve">AAC.7.d — Patient transfer within the organisation is done safely</w:t>
      </w:r>
    </w:p>
    <w:p>
      <w:pPr>
        <w:pStyle w:val="ListParagraph"/>
        <w:numPr>
          <w:ilvl w:val="0"/>
          <w:numId w:val="1"/>
        </w:numPr>
        <w:spacing w:after="60"/>
      </w:pPr>
      <w:r>
        <w:rPr>
          <w:sz w:val="22"/>
          <w:szCs w:val="22"/>
        </w:rPr>
        <w:t xml:space="preserve">The written internal-transfer checklist and the written rule on who accompanies, by patient condition</w:t>
      </w:r>
    </w:p>
    <w:p>
      <w:pPr>
        <w:pStyle w:val="ListParagraph"/>
        <w:numPr>
          <w:ilvl w:val="0"/>
          <w:numId w:val="1"/>
        </w:numPr>
        <w:spacing w:after="60"/>
      </w:pPr>
      <w:r>
        <w:rPr>
          <w:sz w:val="22"/>
          <w:szCs w:val="22"/>
        </w:rPr>
        <w:t xml:space="preserve">sample internal-transfer records showing receiving-unit acceptance, named responsible individuals, handover, completed checklist, accompaniment, monitoring en route, time of leaving, time of arrival and condition on arrival</w:t>
      </w:r>
    </w:p>
    <w:p>
      <w:pPr>
        <w:pStyle w:val="ListParagraph"/>
        <w:numPr>
          <w:ilvl w:val="0"/>
          <w:numId w:val="1"/>
        </w:numPr>
        <w:spacing w:after="60"/>
      </w:pPr>
      <w:r>
        <w:rPr>
          <w:sz w:val="22"/>
          <w:szCs w:val="22"/>
        </w:rPr>
        <w:t xml:space="preserve">records distinguishable from AAC.2 between-organisation transfer</w:t>
      </w:r>
    </w:p>
    <w:p>
      <w:pPr>
        <w:pStyle w:val="ListParagraph"/>
        <w:numPr>
          <w:ilvl w:val="0"/>
          <w:numId w:val="1"/>
        </w:numPr>
        <w:spacing w:after="60"/>
      </w:pPr>
      <w:r>
        <w:rPr>
          <w:sz w:val="22"/>
          <w:szCs w:val="22"/>
        </w:rPr>
        <w:t xml:space="preserve">the audit sample at step 5 of internal transfers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professional registration statutes that govern who may be identified as responsible for a patient's care — the National Medical Commission Act, 2019 and State Medical Council registration, the Indian Nursing Council Act, 1947 and State Nursing Council registration, and the corresponding councils for the other professions Preview Hospital employs — and the Clinical Establishments (Registration and Regulation) Act, 2010 and the rules under it, where adopted by the State, or the corresponding State law.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PREVIEW/AAC/POL-7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2026-08-17T07:09:19.495Z</dcterms:created>
  <dcterms:modified xsi:type="dcterms:W3CDTF">2026-08-17T07:09:19.495Z</dcterms:modified>
</cp:coreProperties>
</file>

<file path=docProps/custom.xml><?xml version="1.0" encoding="utf-8"?>
<Properties xmlns="http://schemas.openxmlformats.org/officeDocument/2006/custom-properties" xmlns:vt="http://schemas.openxmlformats.org/officeDocument/2006/docPropsVTypes"/>
</file>