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Infection Prevention and Control in Clinical Areas</w:t>
      </w:r>
    </w:p>
    <w:p>
      <w:r>
        <w:t>«Hospital Name» — Supports IPC.3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implements infection prevention and control processes in clinical areas: universal application of standard precautions, adherence to hand-hygiene and transmission-based precaution guidelines, safe injection and infusion practices, and an antimicrobial usage policy with a stewardship programme including a restricted antimicrobial ordering mechanism. IPC processes for support services, HAI-prevention bundles for specific devices and procedures, and IPC surveillance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implements infection prevention and control processes in clinical areas: universal application of standard precautions, adherence to hand-hygiene and transmission-based precaution guidelines, safe injection and infusion practices, and an antimicrobial usage policy with a stewardship programme including a restricted antimicrobial ordering mechanism. IPC processes for support services, HAI-prevention bundles for specific devices and procedures, and IPC surveillance are covered in separate hospital policies.</w:t>
      </w:r>
    </w:p>
    <w:p>
      <w:pPr>
        <w:pStyle w:val="Heading1"/>
      </w:pPr>
      <w:r>
        <w:t>2. Scope</w:t>
      </w:r>
    </w:p>
    <w:p>
      <w:r>
        <w:t>This policy applies to all clinical staff — doctors, nurses, allied health professionals, and students — working in any clinical area of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Standard Precautions: </w:t>
      </w:r>
      <w:r>
        <w:t>The baseline infection-control steps used for every patient, every time.</w:t>
      </w:r>
    </w:p>
    <w:p>
      <w:pPr>
        <w:pStyle w:val="ListParagraph"/>
      </w:pPr>
      <w:r>
        <w:rPr>
          <w:b/>
        </w:rPr>
        <w:t xml:space="preserve">Transmission-Based Precautions: </w:t>
      </w:r>
      <w:r>
        <w:t>Extra precautions for a patient with a known or suspected infection that spreads by contact, droplet, or air.</w:t>
      </w:r>
    </w:p>
    <w:p>
      <w:pPr>
        <w:pStyle w:val="ListParagraph"/>
      </w:pPr>
      <w:r>
        <w:rPr>
          <w:b/>
        </w:rPr>
        <w:t xml:space="preserve">N95 Respirator: </w:t>
      </w:r>
      <w:r>
        <w:t>A tight-fitting mask certified to filter at least 95% of airborne particles; it must be individually fit-tested on each wearer to actually seal, unlike a loose surgical mask.</w:t>
      </w:r>
    </w:p>
    <w:p>
      <w:pPr>
        <w:pStyle w:val="ListParagraph"/>
      </w:pPr>
      <w:r>
        <w:rPr>
          <w:b/>
        </w:rPr>
        <w:t xml:space="preserve">Antibiogram: </w:t>
      </w:r>
      <w:r>
        <w:t>A hospital's own periodic summary of which antibiotics its local bacteria are actually still sensitive to, built from its own lab's culture results — used to choose the right empiric antibiotic before culture results come back.</w:t>
      </w:r>
    </w:p>
    <w:p>
      <w:pPr>
        <w:pStyle w:val="ListParagraph"/>
      </w:pPr>
      <w:r>
        <w:rPr>
          <w:b/>
        </w:rPr>
        <w:t xml:space="preserve">AWaRe Classification: </w:t>
      </w:r>
      <w:r>
        <w:t>WHO's system that sorts antibiotics into Access (first-choice, lower resistance risk), Watch (higher resistance risk, used more cautiously) and Reserve (last-resort, for very resistant infections) groups.</w:t>
      </w:r>
    </w:p>
    <w:p>
      <w:pPr>
        <w:pStyle w:val="ListParagraph"/>
      </w:pPr>
      <w:r>
        <w:rPr>
          <w:b/>
        </w:rPr>
        <w:t xml:space="preserve">Antibiotic Time-Out: </w:t>
      </w:r>
      <w:r>
        <w:t>A scheduled pause, typically 48–72 hours into a course, where the treating team formally re-checks whether the antibiotic is still the right drug, the right dose, and whether it can be narrowed or stopped.</w:t>
      </w:r>
    </w:p>
    <w:p>
      <w:pPr>
        <w:pStyle w:val="Heading1"/>
      </w:pPr>
      <w:r>
        <w:t>5. Procedure</w:t>
      </w:r>
    </w:p>
    <w:p>
      <w:pPr>
        <w:pStyle w:val="Heading2"/>
      </w:pPr>
      <w:r>
        <w:t>5.1 Apply standard precautions at all times</w:t>
      </w:r>
    </w:p>
    <w:p>
      <w:r>
        <w:rPr>
          <w:b/>
          <w:i/>
        </w:rPr>
        <w:t xml:space="preserve">Why this step matters: </w:t>
      </w:r>
      <w:r>
        <w:rPr>
          <w:i/>
        </w:rPr>
        <w:t>Standard precautions are the baseline that protects every patient, every time, regardless of diagnosis — because you often don't know who's infectious until it's too late to matter. This record proves staff actually apply them in real clinical areas, not just know the theory from a training slide. This is a CORE requirement — NABH treats it as non-negotiable, not aspirational.</w:t>
      </w:r>
    </w:p>
    <w:p>
      <w:r>
        <w:t>1. Perform hand hygiene before and after every patient contact and immediately after glove removal, at all five WHO moments (see IPC.3.5.2).</w:t>
      </w:r>
    </w:p>
    <w:p>
      <w:r>
        <w:t>2. Wear gloves for any contact with blood, body fluids, mucous membranes or non-intact skin; never reuse a pair or wear the same pair between two patients.</w:t>
      </w:r>
    </w:p>
    <w:p>
      <w:r>
        <w:t>3. Wear a gown when a splash to skin/clothing is likely, and face/eye protection when a splash to the face is likely.</w:t>
      </w:r>
    </w:p>
    <w:p>
      <w:r>
        <w:t>4. Post cough-etiquette signage at entry points; offer symptomatic patients a mask, tissues and a no-touch bin, and seat them apart from others.</w:t>
      </w:r>
    </w:p>
    <w:p>
      <w:r>
        <w:t>5. Discard all sharps directly into a puncture-resistant container at the point of use; never recap a needle by hand — use a one-handed scoop technique only if recapping cannot be avoided.</w:t>
      </w:r>
    </w:p>
    <w:p>
      <w:r>
        <w:t>6. Clean and disinfect high-touch surfaces more frequently than low-touch ones, using a regulator-registered disinfectant at its labelled dilution and contact time.</w:t>
      </w:r>
    </w:p>
    <w:p>
      <w:r>
        <w:t>7. Decontaminate any blood/body-fluid spill immediately, before routine cleaning resumes. (Records 1–3)</w:t>
      </w:r>
    </w:p>
    <w:p>
      <w:r>
        <w:rPr>
          <w:b/>
          <w:i/>
          <w:sz w:val="18"/>
        </w:rPr>
        <w:t xml:space="preserve">Technical source(s) for these steps: </w:t>
      </w:r>
    </w:p>
    <w:p>
      <w:pPr>
        <w:pStyle w:val="ListParagraph"/>
      </w:pPr>
      <w:hyperlink r:id="rId9">
        <w:r>
          <w:rPr>
            <w:color w:val="0563C1"/>
            <w:u w:val="single"/>
          </w:rPr>
          <w:t>Centers for Disease Control and Prevention. (n.d.). Core infection prevention and control practices for safe healthcare delivery in all settings.</w:t>
        </w:r>
      </w:hyperlink>
    </w:p>
    <w:p>
      <w:pPr>
        <w:pStyle w:val="Heading2"/>
      </w:pPr>
      <w:r>
        <w:t>5.2 Adhere to hand-hygiene guidelines</w:t>
      </w:r>
    </w:p>
    <w:p>
      <w:r>
        <w:rPr>
          <w:b/>
          <w:i/>
        </w:rPr>
        <w:t xml:space="preserve">Why this step matters: </w:t>
      </w:r>
      <w:r>
        <w:rPr>
          <w:i/>
        </w:rPr>
        <w:t>Hand-hygiene compliance routinely looks good on paper and much worse under real, direct observation. Monthly monitoring data is what tells the hospital — and an assessor — what's actually happening at the bedside, not what staff assume or report happens. This is a CORE requirement — NABH treats it as non-negotiable, not aspirational.</w:t>
      </w:r>
    </w:p>
    <w:p>
      <w:r>
        <w:t>1. Clean hands at all five WHO moments: before touching a patient, before a clean/aseptic procedure, after body-fluid exposure risk, after touching a patient, and after touching the patient's surroundings.</w:t>
      </w:r>
    </w:p>
    <w:p>
      <w:r>
        <w:t>2. Use the WHO 11-step handwash technique with soap and water (40–60 seconds) when hands are visibly soiled: wet, soap, palm-to-palm, palm over dorsum both sides, palm-to-palm fingers interlaced, backs of fingers to opposing palms, rotational thumb rub both sides, rotational fingertip rub in palm both sides, rinse, dry with a single-use towel, use the towel to turn off the tap.</w:t>
      </w:r>
    </w:p>
    <w:p>
      <w:r>
        <w:t>3. Use an alcohol-based hand rub (the same motion sequence, no water) when hands are not visibly soiled — it is faster and at least as effective for routine moments.</w:t>
      </w:r>
    </w:p>
    <w:p>
      <w:r>
        <w:t>4. Audit compliance against the WHO observation method periodically (see IPC.6.5.4) and feed results back to the units audited. (Records 4–6)</w:t>
      </w:r>
    </w:p>
    <w:p>
      <w:r>
        <w:rPr>
          <w:b/>
          <w:i/>
          <w:sz w:val="18"/>
        </w:rPr>
        <w:t xml:space="preserve">Technical source(s) for these steps: </w:t>
      </w:r>
    </w:p>
    <w:p>
      <w:pPr>
        <w:pStyle w:val="ListParagraph"/>
      </w:pPr>
      <w:hyperlink r:id="rId10">
        <w:r>
          <w:rPr>
            <w:color w:val="0563C1"/>
            <w:u w:val="single"/>
          </w:rPr>
          <w:t>World Health Organization. (2009). WHO guidelines on hand hygiene in health care.</w:t>
        </w:r>
      </w:hyperlink>
    </w:p>
    <w:p>
      <w:pPr>
        <w:pStyle w:val="ListParagraph"/>
      </w:pPr>
      <w:hyperlink r:id="rId11">
        <w:r>
          <w:rPr>
            <w:color w:val="0563C1"/>
            <w:u w:val="single"/>
          </w:rPr>
          <w:t>World Health Organization. (n.d.). Multimodal hand hygiene improvement strategy and observation form.</w:t>
        </w:r>
      </w:hyperlink>
    </w:p>
    <w:p>
      <w:pPr>
        <w:pStyle w:val="Heading2"/>
      </w:pPr>
      <w:r>
        <w:t>5.3 Apply transmission-based precautions</w:t>
      </w:r>
    </w:p>
    <w:p>
      <w:r>
        <w:rPr>
          <w:b/>
          <w:i/>
        </w:rPr>
        <w:t xml:space="preserve">Why this step matters: </w:t>
      </w:r>
      <w:r>
        <w:rPr>
          <w:i/>
        </w:rPr>
        <w:t>Contact, droplet and airborne infections each spread by a different route and need different protective gear — treating them all the same either wastes PPE or leaves a real gap. This record proves the right precaution was matched to the right mode of spread, in actual practice, not just on a wall chart. This is a Commitment-level requirement — NABH expects the hospital to be actively working toward and evidencing it, not just planning to.</w:t>
      </w:r>
    </w:p>
    <w:p>
      <w:r>
        <w:t>1. Contact precautions (e.g. MRSA, VRE, C. difficile, scabies): gown and gloves for all interactions with the patient or their immediate environment; use a single room where possible; dedicate or disinfect shared equipment between patients.</w:t>
      </w:r>
    </w:p>
    <w:p>
      <w:r>
        <w:t>2. Droplet precautions (e.g. influenza, pertussis, mumps, meningococcal disease): don a surgical mask on entering the patient's space; use a single room, or cohort/spatially separate if unavailable.</w:t>
      </w:r>
    </w:p>
    <w:p>
      <w:r>
        <w:t>3. Airborne precautions (e.g. TB, measles, varicella, disseminated zoster, smallpox): a fit-tested NIOSH-approved N95 or higher respirator must be on before room entry; place the patient in a true Airborne Infection Isolation Room (negative pressure); limit door opening to preserve pressure.</w:t>
      </w:r>
    </w:p>
    <w:p>
      <w:r>
        <w:t>4. Remove all PPE before leaving the room in every category except a respirator, which is removed only after leaving and closing the door, followed immediately by hand hygiene. (Records 7–8)</w:t>
      </w:r>
    </w:p>
    <w:p>
      <w:r>
        <w:rPr>
          <w:b/>
          <w:i/>
          <w:sz w:val="18"/>
        </w:rPr>
        <w:t xml:space="preserve">Technical source(s) for these steps: </w:t>
      </w:r>
    </w:p>
    <w:p>
      <w:pPr>
        <w:pStyle w:val="ListParagraph"/>
      </w:pPr>
      <w:hyperlink r:id="rId12">
        <w:r>
          <w:rPr>
            <w:color w:val="0563C1"/>
            <w:u w:val="single"/>
          </w:rPr>
          <w:t>Centers for Disease Control and Prevention. (n.d.). Transmission-based precautions.</w:t>
        </w:r>
      </w:hyperlink>
    </w:p>
    <w:p>
      <w:pPr>
        <w:pStyle w:val="Heading2"/>
      </w:pPr>
      <w:r>
        <w:t>5.4 Practice safe injection and infusion</w:t>
      </w:r>
    </w:p>
    <w:p>
      <w:r>
        <w:rPr>
          <w:b/>
          <w:i/>
        </w:rPr>
        <w:t xml:space="preserve">Why this step matters: </w:t>
      </w:r>
      <w:r>
        <w:rPr>
          <w:i/>
        </w:rPr>
        <w:t>Reusing a needle or syringe on a second patient — even changing only the needle — is a well-documented way bloodborne infections like Hepatitis B and HIV get transmitted between patients. This record is the audit trail proving the one-needle-one-syringe-one-time rule is actually followed, not just written into policy. This is a CORE requirement — NABH treats it as non-negotiable, not aspirational.</w:t>
      </w:r>
    </w:p>
    <w:p>
      <w:r>
        <w:t>1. Use a new sterile needle and syringe for every single injection, for every single patient — never reuse on a second patient even after changing only the needle.</w:t>
      </w:r>
    </w:p>
    <w:p>
      <w:r>
        <w:t>2. Never administer medication from one syringe to more than one patient, even through a length of intervening IV tubing.</w:t>
      </w:r>
    </w:p>
    <w:p>
      <w:r>
        <w:t>3. Use single-dose vials for one patient only; never pool leftover contents for later use or another patient.</w:t>
      </w:r>
    </w:p>
    <w:p>
      <w:r>
        <w:t>4. Dedicate multi-dose vials to a single patient wherever possible; if used for more than one patient, keep the vial in a clean preparation area away from the immediate treatment zone, date it on opening, and discard within 28 days unless the manufacturer states otherwise.</w:t>
      </w:r>
    </w:p>
    <w:p>
      <w:r>
        <w:t>5. Prepare every injection using aseptic technique in a clean area, away from any contaminated surface. (Records 9–11)</w:t>
      </w:r>
    </w:p>
    <w:p>
      <w:r>
        <w:rPr>
          <w:b/>
          <w:i/>
          <w:sz w:val="18"/>
        </w:rPr>
        <w:t xml:space="preserve">Technical source(s) for these steps: </w:t>
      </w:r>
    </w:p>
    <w:p>
      <w:pPr>
        <w:pStyle w:val="ListParagraph"/>
      </w:pPr>
      <w:hyperlink r:id="rId13">
        <w:r>
          <w:rPr>
            <w:color w:val="0563C1"/>
            <w:u w:val="single"/>
          </w:rPr>
          <w:t>Centers for Disease Control and Prevention. (n.d.). Injection safety — preventing unsafe injection practices.</w:t>
        </w:r>
      </w:hyperlink>
    </w:p>
    <w:p>
      <w:pPr>
        <w:pStyle w:val="ListParagraph"/>
      </w:pPr>
      <w:hyperlink r:id="rId14">
        <w:r>
          <w:rPr>
            <w:color w:val="0563C1"/>
            <w:u w:val="single"/>
          </w:rPr>
          <w:t>Centers for Disease Control and Prevention. (2014). One needle, one syringe, only one time (One &amp; Only Campaign).</w:t>
        </w:r>
      </w:hyperlink>
    </w:p>
    <w:p>
      <w:pPr>
        <w:pStyle w:val="Heading2"/>
      </w:pPr>
      <w:r>
        <w:t>5.5 Establish and document the antimicrobial usage policy</w:t>
      </w:r>
    </w:p>
    <w:p>
      <w:r>
        <w:rPr>
          <w:b/>
          <w:i/>
        </w:rPr>
        <w:t xml:space="preserve">Why this step matters: </w:t>
      </w:r>
      <w:r>
        <w:rPr>
          <w:i/>
        </w:rPr>
        <w:t>Antibiotics prescribed without clear guidance on dose, duration, and when to step therapy up or down drive both poor patient outcomes and antimicrobial resistance across the whole hospital. This record proves the policy is specific enough to actually guide a real prescribing decision, backed by the hospital's own culture-sensitivity data, not a generic statement copied from elsewhere. This is a Commitment-level requirement — NABH expects the hospital to be actively working toward and evidencing it, not just planning to.</w:t>
      </w:r>
    </w:p>
    <w:p>
      <w:r>
        <w:t>1. Write a documented antimicrobial usage policy naming the clinical conditions for which each class of agent (antibacterial, antitubercular, antifungal, antiviral, antiparasitic) is used, whether as monotherapy or combination, and the recommended dose/duration.</w:t>
      </w:r>
    </w:p>
    <w:p>
      <w:r>
        <w:t>2. Base the policy on the hospital's own site-specific antibiogram (culture-sensitivity data), updated at least annually — a national guideline alone is not enough, local resistance patterns differ.</w:t>
      </w:r>
    </w:p>
    <w:p>
      <w:r>
        <w:t>3. Maintain a defined restricted-antibiotic list within the policy, aligned to WHO's AWaRe (Access, Watch, Reserve) classification.</w:t>
      </w:r>
    </w:p>
    <w:p>
      <w:r>
        <w:t>4. Review and reissue the policy at least annually, or sooner if the antibiogram shifts materially. (Records 12–15)</w:t>
      </w:r>
    </w:p>
    <w:p>
      <w:r>
        <w:rPr>
          <w:b/>
          <w:i/>
          <w:sz w:val="18"/>
        </w:rPr>
        <w:t xml:space="preserve">Technical source(s) for these steps: </w:t>
      </w:r>
    </w:p>
    <w:p>
      <w:pPr>
        <w:pStyle w:val="ListParagraph"/>
      </w:pPr>
      <w:hyperlink r:id="rId15">
        <w:r>
          <w:rPr>
            <w:color w:val="0563C1"/>
            <w:u w:val="single"/>
          </w:rPr>
          <w:t>World Health Organization. (2022). The WHO AWaRe (Access, Watch, Reserve) antibiotic book.</w:t>
        </w:r>
      </w:hyperlink>
    </w:p>
    <w:p>
      <w:pPr>
        <w:pStyle w:val="ListParagraph"/>
      </w:pPr>
      <w:hyperlink r:id="rId17">
        <w:r>
          <w:rPr>
            <w:rStyle w:val="Hyperlink"/>
          </w:rPr>
          <w:t>Indian Council of Medical Research. (2018). Antimicrobial stewardship program guideline. https://www.icmr.gov.in/icmrobject/custom_data/pdf/resource-guidelines/AMSP_0.pdf</w:t>
        </w:r>
      </w:hyperlink>
    </w:p>
    <w:p>
      <w:pPr>
        <w:pStyle w:val="Heading2"/>
      </w:pPr>
      <w:r>
        <w:t>5.6 Implement the antimicrobial stewardship programme</w:t>
      </w:r>
    </w:p>
    <w:p>
      <w:r>
        <w:rPr>
          <w:b/>
          <w:i/>
        </w:rPr>
        <w:t xml:space="preserve">Why this step matters: </w:t>
      </w:r>
      <w:r>
        <w:rPr>
          <w:i/>
        </w:rPr>
        <w:t>A restricted-antibiotic list means nothing if anyone can still prescribe it without oversight. This record is the proof that restricted agents actually go through the approval mechanism, and that when someone bypasses it, that deviation gets caught, tracked with a CAPA, and closed — not quietly ignored. This is a CORE requirement — NABH treats it as non-negotiable, not aspirational.</w:t>
      </w:r>
    </w:p>
    <w:p>
      <w:r>
        <w:t>1. Name one physician as the accountable lead for stewardship outcomes, and one pharmacist as the lead for day-to-day antibiotic-use decisions — both named in the IPC Manual, not just “a committee.”</w:t>
      </w:r>
    </w:p>
    <w:p>
      <w:r>
        <w:t>2. Maintain a restricted-antibiotic list; anyone starting a restricted agent needs prior authorization from a named expert reviewer, before or within a defined short window after the first dose.</w:t>
      </w:r>
    </w:p>
    <w:p>
      <w:r>
        <w:t>3. Run prospective audit and feedback: a pharmacist/physician reviews active antibiotic orders — ICU and critically ill patients first — on a fixed schedule and feeds back to the prescriber directly.</w:t>
      </w:r>
    </w:p>
    <w:p>
      <w:r>
        <w:t>4. Require an antibiotic time-out at 48–72 hours after any antibiotic starts: the treating team documents whether infection is actually confirmed, whether the drug/dose is right, whether it can be de-escalated to a narrower agent, whether IV can switch to oral, and the planned stop date.</w:t>
      </w:r>
    </w:p>
    <w:p>
      <w:r>
        <w:t>5. Build pharmacy-driven automatic rules: IV-to-oral conversion criteria, dose adjustment for renal/hepatic impairment, and an auto-stop on surgical-prophylaxis orders (typically within 24 hours of the dose).</w:t>
      </w:r>
    </w:p>
    <w:p>
      <w:r>
        <w:t>6. Publish a site-specific antibiogram from the lab's own culture data at least annually and update empiric-therapy recommendations from it.</w:t>
      </w:r>
    </w:p>
    <w:p>
      <w:r>
        <w:t>7. Track antibiotic use with a real metric — Days of Therapy per 1000 patient-days, or Defined Daily Dose — not just “monitored.”</w:t>
      </w:r>
    </w:p>
    <w:p>
      <w:r>
        <w:t>8. Report antibiotic-use data, the antibiogram, and individual prescriber feedback back to clinicians on a fixed schedule. (Records 16–19)</w:t>
      </w:r>
    </w:p>
    <w:p>
      <w:r>
        <w:rPr>
          <w:b/>
          <w:i/>
          <w:sz w:val="18"/>
        </w:rPr>
        <w:t xml:space="preserve">Technical source(s) for these steps: </w:t>
      </w:r>
    </w:p>
    <w:p>
      <w:pPr>
        <w:pStyle w:val="ListParagraph"/>
      </w:pPr>
      <w:hyperlink r:id="rId16">
        <w:r>
          <w:rPr>
            <w:color w:val="0563C1"/>
            <w:u w:val="single"/>
          </w:rPr>
          <w:t>Centers for Disease Control and Prevention. (2019). The core elements of hospital antibiotic stewardship programs.</w:t>
        </w:r>
      </w:hyperlink>
    </w:p>
    <w:p>
      <w:pPr>
        <w:pStyle w:val="ListParagraph"/>
      </w:pPr>
      <w:hyperlink r:id="rId17">
        <w:r>
          <w:rPr>
            <w:rStyle w:val="Hyperlink"/>
          </w:rPr>
          <w:t>Indian Council of Medical Research. (2018). Antimicrobial stewardship program guideline. https://www.icmr.gov.in/icmrobject/custom_data/pdf/resource-guidelines/AMSP_0.pdf</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start a clinical procedure when standard precautions are not in place (PPE, sharps safety, cough etiquette as the situation requires), when hand hygiene has not been done at the required moment, or when injection/infusion practice would reuse a needle or syringe. Do not start a restricted antimicrobial without the organisation's antimicrobial-stewardship path (documented indication and, where required, approval). Stop-work applies to the procedure or first dose start. Immediate life-saving care continues with the best available precautions and is documented. The person who stops tells the treating doctor and the Infection Prevention and Control Officer the same shift. Refusing an unsafe start is not a disciplinary matter.</w:t>
      </w:r>
    </w:p>
    <w:p>
      <w:pPr>
        <w:pStyle w:val="Heading1"/>
      </w:pPr>
      <w:r>
        <w:t>7. Records</w:t>
      </w:r>
    </w:p>
    <w:p>
      <w:r>
        <w:t>This SOP produces and maintains Records 1 through 19 (see the IPC.3 Records folder).</w:t>
      </w:r>
    </w:p>
    <w:p>
      <w:pPr>
        <w:pStyle w:val="Heading1"/>
      </w:pPr>
      <w:r>
        <w:t>8. Related Documents</w:t>
      </w:r>
    </w:p>
    <w:p>
      <w:pPr>
        <w:pStyle w:val="ListParagraph"/>
      </w:pPr>
      <w:r>
        <w:t>Policy on Infection Prevention and Control in Clinical Areas (HCO/IPC/POL/03) — this policy</w:t>
      </w:r>
    </w:p>
    <w:p>
      <w:pPr>
        <w:pStyle w:val="ListParagraph"/>
      </w:pPr>
      <w:r>
        <w:t>Required Records — IPC.3 (see IPC.3 Records folder)</w:t>
      </w:r>
    </w:p>
    <w:p>
      <w:pPr>
        <w:pStyle w:val="Heading1"/>
      </w:pPr>
      <w:r>
        <w:t>9. Where This SOP's Requirements Come From (Verified Sources)</w:t>
      </w:r>
    </w:p>
    <w:p>
      <w:pPr>
        <w:pStyle w:val="ListParagraph"/>
      </w:pPr>
      <w:hyperlink r:id="rId18">
        <w:r>
          <w:rPr>
            <w:rStyle w:val="Hyperlink"/>
            <w:i/>
          </w:rPr>
          <w:t>National Accreditation Board for Hospitals and Healthcare Providers. (2025). NABH accreditation standards for hospitals (6th ed.), IPC.3. ISBN 978-81-965264-9-8. https://portal.nabh.co/images/Standards/NABH%20Hospital%20Accreditation%20Standard%206th%20Edition%20January%202025.pdf</w:t>
        </w:r>
      </w:hyperlink>
    </w:p>
    <w:p>
      <w:pPr>
        <w:pStyle w:val="ListParagraph"/>
      </w:pPr>
      <w:hyperlink r:id="rId19">
        <w:r>
          <w:rPr>
            <w:rStyle w:val="Hyperlink"/>
            <w:i/>
          </w:rPr>
          <w:t>National Centre for Disease Control &amp; Ministry of Health and Family Welfare, Government of India. (2020). National guidelines for infection prevention and control in healthcare facilities. https://cdn.who.int/media/docs/default-source/searo/india/antimicrobial-resistance/ipcguidelines-web-sep2020.pdf</w:t>
        </w:r>
      </w:hyperlink>
    </w:p>
    <w:p>
      <w:pPr>
        <w:pStyle w:val="ListParagraph"/>
      </w:pPr>
      <w:hyperlink r:id="rId17">
        <w:r>
          <w:rPr>
            <w:rStyle w:val="Hyperlink"/>
            <w:i/>
          </w:rPr>
          <w:t>Indian Council of Medical Research. (2018). Antimicrobial stewardship program guideline. https://www.icmr.gov.in/icmrobject/custom_data/pdf/resource-guidelines/AMSP_0.pdf</w:t>
        </w:r>
      </w:hyperlink>
    </w:p>
    <w:p>
      <w:pPr>
        <w:pStyle w:val="ListParagraph"/>
      </w:pPr>
      <w:hyperlink r:id="rId10">
        <w:r>
          <w:rPr>
            <w:color w:val="0563C1"/>
            <w:u w:val="single"/>
          </w:rPr>
          <w:t>World Health Organization (2009) — WHO Guidelines on Hand Hygiene in Health Care</w:t>
        </w:r>
      </w:hyperlink>
    </w:p>
    <w:p>
      <w:pPr>
        <w:pStyle w:val="ListParagraph"/>
      </w:pPr>
      <w:hyperlink r:id="rId11">
        <w:r>
          <w:rPr>
            <w:color w:val="0563C1"/>
            <w:u w:val="single"/>
          </w:rPr>
          <w:t>World Health Organization — Multimodal Hand Hygiene Improvement Strategy and Observation Form</w:t>
        </w:r>
      </w:hyperlink>
    </w:p>
    <w:p>
      <w:pPr>
        <w:pStyle w:val="ListParagraph"/>
      </w:pPr>
      <w:hyperlink r:id="rId14">
        <w:r>
          <w:rPr>
            <w:color w:val="0563C1"/>
            <w:u w:val="single"/>
          </w:rPr>
          <w:t>Centers for Disease Control and Prevention (2014) — One Needle, One Syringe, Only One Time (One &amp; Only Campaign, safe injection practices)</w:t>
        </w:r>
      </w:hyperlink>
    </w:p>
    <w:p>
      <w:pPr>
        <w:pStyle w:val="Heading1"/>
      </w:pPr>
      <w:r>
        <w:t>10.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ore-practices/references.html" TargetMode="External"/><Relationship Id="rId10" Type="http://schemas.openxmlformats.org/officeDocument/2006/relationships/hyperlink" Target="https://www.who.int/publications/i/item/9789241597906" TargetMode="External"/><Relationship Id="rId11" Type="http://schemas.openxmlformats.org/officeDocument/2006/relationships/hyperlink" Target="https://www.who.int/teams/integrated-health-services/infection-prevention-control/hand-hygiene" TargetMode="External"/><Relationship Id="rId12" Type="http://schemas.openxmlformats.org/officeDocument/2006/relationships/hyperlink" Target="https://www.cdc.gov/infection-control/hcp/basics/transmission-based-precautions.html" TargetMode="External"/><Relationship Id="rId13" Type="http://schemas.openxmlformats.org/officeDocument/2006/relationships/hyperlink" Target="https://www.cdc.gov/injection-safety/hcp/clinical-safety/index.html" TargetMode="External"/><Relationship Id="rId14" Type="http://schemas.openxmlformats.org/officeDocument/2006/relationships/hyperlink" Target="https://stacks.cdc.gov/view/cdc/31799" TargetMode="External"/><Relationship Id="rId15" Type="http://schemas.openxmlformats.org/officeDocument/2006/relationships/hyperlink" Target="https://www.who.int/publications/i/item/9789240062382" TargetMode="External"/><Relationship Id="rId16" Type="http://schemas.openxmlformats.org/officeDocument/2006/relationships/hyperlink" Target="https://www.cdc.gov/antibiotic-use/healthcare/pdfs/core-elements.pdf" TargetMode="External"/><Relationship Id="rId17" Type="http://schemas.openxmlformats.org/officeDocument/2006/relationships/hyperlink" Target="https://www.icmr.gov.in/icmrobject/custom_data/pdf/resource-guidelines/AMSP_0.pdf" TargetMode="External"/><Relationship Id="rId18" Type="http://schemas.openxmlformats.org/officeDocument/2006/relationships/hyperlink" Target="https://portal.nabh.co/images/Standards/NABH%20Hospital%20Accreditation%20Standard%206th%20Edition%20January%202025.pdf" TargetMode="External"/><Relationship Id="rId19" Type="http://schemas.openxmlformats.org/officeDocument/2006/relationships/hyperlink" Target="https://cdn.who.int/media/docs/default-source/searo/india/antimicrobial-resistance/ipcguidelines-web-sep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