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Prevention of Healthcare Associated Infections in Patients</w:t>
      </w:r>
    </w:p>
    <w:p>
      <w:r>
        <w:t>«Hospital Name» — Supports IPC.5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explains how «Hospital Name» takes actions to prevent healthcare associated infections in patients by developing, implementing and monitoring evidence-based care bundles for CAUTI, VAP, CLABSI, and SSI prevention, alongside adherence to standard and transmission-based precautions. IPC in clinical areas (standard precautions, hand hygiene, antimicrobial stewardship) and IPC surveillance are covered in separate hospital policies. If you're new to infection prevention and control,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explains how «Hospital Name» takes actions to prevent healthcare associated infections in patients by developing, implementing and monitoring evidence-based care bundles for CAUTI, VAP, CLABSI, and SSI prevention, alongside adherence to standard and transmission-based precautions. IPC in clinical areas (standard precautions, hand hygiene, antimicrobial stewardship) and IPC surveillance are covered in separate hospital policies.</w:t>
      </w:r>
    </w:p>
    <w:p>
      <w:pPr>
        <w:pStyle w:val="Heading1"/>
      </w:pPr>
      <w:r>
        <w:t>2. Scope</w:t>
      </w:r>
    </w:p>
    <w:p>
      <w:r>
        <w:t>This policy applies to all clinical staff — doctors, nurses, and allied health professionals — involved in the care of patients with urinary catheters, invasive ventilation, central venous access, or undergoing surgical procedures at «Hospital Name».</w:t>
      </w:r>
    </w:p>
    <w:p>
      <w:pPr>
        <w:pStyle w:val="Heading1"/>
      </w:pPr>
      <w:r>
        <w:t>3. Responsibility</w:t>
      </w:r>
    </w:p>
    <w:p>
      <w:r>
        <w:t xml:space="preserve">IPC Officer (IPCO): </w:t>
      </w:r>
      <w:r>
        <w:t>leads the programme covered by this policy, owns the required records, and is accountable to the IPC Committee for it.</w:t>
      </w:r>
    </w:p>
    <w:p>
      <w:r>
        <w:t xml:space="preserve">IPC Nurse(s) (IPCN): </w:t>
      </w:r>
      <w:r>
        <w:t>carries out the day-to-day activities described below and keeps the records current.</w:t>
      </w:r>
    </w:p>
    <w:p>
      <w:r>
        <w:t xml:space="preserve">Link Nurses: </w:t>
      </w:r>
      <w:r>
        <w:t>support IPC activities within their own clinical area.</w:t>
      </w:r>
    </w:p>
    <w:p>
      <w:r>
        <w:t xml:space="preserve">IPC Committee: </w:t>
      </w:r>
      <w:r>
        <w:t>reviews progress on this policy at least monthly and signs off the annual review.</w:t>
      </w:r>
    </w:p>
    <w:p>
      <w:r>
        <w:t xml:space="preserve">All staff in scope: </w:t>
      </w:r>
      <w:r>
        <w:t>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HAI: </w:t>
      </w:r>
      <w:r>
        <w:t>Healthcare-Associated Infection — an infection a patient picked up during their hospital stay, not one they came in with.</w:t>
      </w:r>
    </w:p>
    <w:p>
      <w:pPr>
        <w:pStyle w:val="ListParagraph"/>
      </w:pPr>
      <w:r>
        <w:rPr>
          <w:b/>
        </w:rPr>
        <w:t xml:space="preserve">CAUTI: </w:t>
      </w:r>
      <w:r>
        <w:t>Catheter-Associated Urinary Tract Infection.</w:t>
      </w:r>
    </w:p>
    <w:p>
      <w:pPr>
        <w:pStyle w:val="ListParagraph"/>
      </w:pPr>
      <w:r>
        <w:rPr>
          <w:b/>
        </w:rPr>
        <w:t xml:space="preserve">VAP: </w:t>
      </w:r>
      <w:r>
        <w:t>Ventilator-Associated Pneumonia.</w:t>
      </w:r>
    </w:p>
    <w:p>
      <w:pPr>
        <w:pStyle w:val="ListParagraph"/>
      </w:pPr>
      <w:r>
        <w:rPr>
          <w:b/>
        </w:rPr>
        <w:t xml:space="preserve">CLABSI: </w:t>
      </w:r>
      <w:r>
        <w:t>Central Line-Associated Bloodstream Infection.</w:t>
      </w:r>
    </w:p>
    <w:p>
      <w:pPr>
        <w:pStyle w:val="ListParagraph"/>
      </w:pPr>
      <w:r>
        <w:rPr>
          <w:b/>
        </w:rPr>
        <w:t xml:space="preserve">Standard Precautions: </w:t>
      </w:r>
      <w:r>
        <w:t>The baseline infection-control steps used for every patient, every time.</w:t>
      </w:r>
    </w:p>
    <w:p>
      <w:pPr>
        <w:pStyle w:val="ListParagraph"/>
      </w:pPr>
      <w:r>
        <w:rPr>
          <w:b/>
        </w:rPr>
        <w:t xml:space="preserve">Transmission-Based Precautions: </w:t>
      </w:r>
      <w:r>
        <w:t>Extra precautions for a patient with a known or suspected infection that spreads by contact, droplet, or air.</w:t>
      </w:r>
    </w:p>
    <w:p>
      <w:pPr>
        <w:pStyle w:val="ListParagraph"/>
      </w:pPr>
      <w:r>
        <w:rPr>
          <w:b/>
        </w:rPr>
        <w:t xml:space="preserve">Endotracheal Cuff Pressure: </w:t>
      </w:r>
      <w:r>
        <w:t>The air pressure inside the small balloon that seals a breathing tube against the windpipe — kept in a specific range so it seals well without damaging tissue.</w:t>
      </w:r>
    </w:p>
    <w:p>
      <w:pPr>
        <w:pStyle w:val="Heading1"/>
      </w:pPr>
      <w:r>
        <w:t>5. Procedure</w:t>
      </w:r>
    </w:p>
    <w:p>
      <w:pPr>
        <w:pStyle w:val="Heading2"/>
      </w:pPr>
      <w:r>
        <w:t>5.1 Prevent catheter-associated urinary tract infections (CAUTI)</w:t>
      </w:r>
    </w:p>
    <w:p>
      <w:r>
        <w:rPr>
          <w:b/>
          <w:i/>
        </w:rPr>
        <w:t xml:space="preserve">Why this step matters: </w:t>
      </w:r>
      <w:r>
        <w:rPr>
          <w:i/>
        </w:rPr>
        <w:t>CAUTI is one of the most common and most preventable device-related infections, but only when a defined bundle of steps — catheter necessity reviewed daily, aseptic insertion, closed drainage — is followed every single time, not most of the time. This record proves the bundle is actually being followed at the bedside, and that the resulting CAUTI rate is tracked so the hospital knows if it's genuinely working. NABH checks this as part of how a functioning IPC programme actually runs day to day.</w:t>
      </w:r>
    </w:p>
    <w:p>
      <w:r>
        <w:t>1. Insert an indwelling urinary catheter only for an accepted indication (acute retention/obstruction, accurate output measurement in critical illness, select perioperative use, stage III/IV pressure injury with incontinence, or comfort care) — never for routine incontinence management — and document the indication at the time of insertion.</w:t>
      </w:r>
    </w:p>
    <w:p>
      <w:r>
        <w:t>2. Insert using aseptic technique with sterile gloves, drape, sponges, antiseptic solution and a single-use lubricant packet, using the smallest bore consistent with good drainage.</w:t>
      </w:r>
    </w:p>
    <w:p>
      <w:r>
        <w:t>3. Maintain a closed, sterile drainage system; never disconnect the catheter-tubing junction, and replace the whole system aseptically if a break occurs.</w:t>
      </w:r>
    </w:p>
    <w:p>
      <w:r>
        <w:t>4. Keep the collection bag below bladder level at all times, never resting on the floor.</w:t>
      </w:r>
    </w:p>
    <w:p>
      <w:r>
        <w:t>5. Review and document catheter necessity daily on rounds, and remove it as soon as it is no longer indicated — ideally through a nurse-driven removal protocol. (Records 1–3)</w:t>
      </w:r>
    </w:p>
    <w:p>
      <w:r>
        <w:rPr>
          <w:b/>
          <w:i/>
          <w:sz w:val="18"/>
        </w:rPr>
        <w:t xml:space="preserve">Technical source(s) for these steps: </w:t>
      </w:r>
    </w:p>
    <w:p>
      <w:pPr>
        <w:pStyle w:val="ListParagraph"/>
      </w:pPr>
      <w:hyperlink r:id="rId9">
        <w:r>
          <w:rPr>
            <w:color w:val="0563C1"/>
            <w:u w:val="single"/>
          </w:rPr>
          <w:t>Centers for Disease Control and Prevention. (n.d.). Catheter-associated urinary tract infections (CAUTI) prevention guideline.</w:t>
        </w:r>
      </w:hyperlink>
    </w:p>
    <w:p>
      <w:pPr>
        <w:pStyle w:val="Heading2"/>
      </w:pPr>
      <w:r>
        <w:t>5.2 Prevent ventilator-associated pneumonia (VAP)</w:t>
      </w:r>
    </w:p>
    <w:p>
      <w:r>
        <w:rPr>
          <w:b/>
          <w:i/>
        </w:rPr>
        <w:t xml:space="preserve">Why this step matters: </w:t>
      </w:r>
      <w:r>
        <w:rPr>
          <w:i/>
        </w:rPr>
        <w:t>Ventilator-associated pneumonia is largely preventable with a defined bundle — head-of-bed elevation, oral care, sedation review, cuff-pressure checks — but a bundle that exists only on paper prevents nothing. This record proves the bundle is actually being followed for real ventilated patients, and that the VAP rate is tracked so the hospital knows if it's genuinely working. NABH checks this as part of how a functioning IPC programme actually runs day to day.</w:t>
      </w:r>
    </w:p>
    <w:p>
      <w:r>
        <w:t>1. Elevate the head of the bed to 30–45 degrees for every mechanically ventilated patient unless medically contraindicated.</w:t>
      </w:r>
    </w:p>
    <w:p>
      <w:r>
        <w:t>2. Perform a daily sedation-vacation (interruption of sedative infusion) paired with a daily spontaneous breathing trial to assess extubation readiness.</w:t>
      </w:r>
    </w:p>
    <w:p>
      <w:r>
        <w:t>3. Provide oral care with 0.12% chlorhexidine rinse per unit protocol (commonly every 2–4 hours) plus brushing.</w:t>
      </w:r>
    </w:p>
    <w:p>
      <w:r>
        <w:t>4. Maintain endotracheal tube cuff pressure between 20–30 cmH2O, checked at least every shift, to limit micro-aspiration around the cuff.</w:t>
      </w:r>
    </w:p>
    <w:p>
      <w:r>
        <w:t>5. Provide DVT prophylaxis (anticoagulation unless contraindicated, or sequential compression devices if it is) and peptic-ulcer prophylaxis, and assess extubation readiness daily. (Records 4–6)</w:t>
      </w:r>
    </w:p>
    <w:p>
      <w:r>
        <w:rPr>
          <w:b/>
          <w:i/>
          <w:sz w:val="18"/>
        </w:rPr>
        <w:t xml:space="preserve">Technical source(s) for these steps: </w:t>
      </w:r>
    </w:p>
    <w:p>
      <w:pPr>
        <w:pStyle w:val="ListParagraph"/>
      </w:pPr>
      <w:hyperlink r:id="rId10">
        <w:r>
          <w:rPr>
            <w:color w:val="0563C1"/>
            <w:u w:val="single"/>
          </w:rPr>
          <w:t>Institute for Healthcare Improvement. (n.d.). How-to guide: Prevent ventilator-associated pneumonia.</w:t>
        </w:r>
      </w:hyperlink>
    </w:p>
    <w:p>
      <w:pPr>
        <w:pStyle w:val="Heading2"/>
      </w:pPr>
      <w:r>
        <w:t>5.3 Prevent central line-associated bloodstream infections (CLABSI)</w:t>
      </w:r>
    </w:p>
    <w:p>
      <w:r>
        <w:rPr>
          <w:b/>
          <w:i/>
        </w:rPr>
        <w:t xml:space="preserve">Why this step matters: </w:t>
      </w:r>
      <w:r>
        <w:rPr>
          <w:i/>
        </w:rPr>
        <w:t>Central-line infections are largely preventable through a defined bundle covering both insertion (maximal barrier precautions, skin antisepsis) and ongoing maintenance (dressing checks, daily necessity review), but only if both halves are actually followed. This record proves the bundle is being followed in real practice, and that the CLABSI rate is tracked so the hospital knows if it's genuinely working. NABH checks this as part of how a functioning IPC programme actually runs day to day.</w:t>
      </w:r>
    </w:p>
    <w:p>
      <w:r>
        <w:t>1. Perform hand hygiene before insertion or any manipulation, and use maximal sterile barrier precautions for insertion: mask, cap, sterile gown, sterile gloves and a full-body sterile drape.</w:t>
      </w:r>
    </w:p>
    <w:p>
      <w:r>
        <w:t>2. Prepare the site with &gt;0.5% chlorhexidine-alcohol antiseptic and let it fully dry before puncture; select the optimal site, avoiding the femoral vein in adults where feasible.</w:t>
      </w:r>
    </w:p>
    <w:p>
      <w:r>
        <w:t>3. Use a checklist with a trained observer empowered to stop the procedure if a bundle element is missed.</w:t>
      </w:r>
    </w:p>
    <w:p>
      <w:r>
        <w:t>4. Scrub the hub/needleless connector with an approved antiseptic immediately before every access.</w:t>
      </w:r>
    </w:p>
    <w:p>
      <w:r>
        <w:t>5. Change gauze dressings every 2 days and semipermeable dressings every 7 days (or sooner if soiled/loose); change standard administration sets every 4–7 days, more often for blood products or propofol.</w:t>
      </w:r>
    </w:p>
    <w:p>
      <w:r>
        <w:t>6. Review and document line necessity daily, and remove the line as soon as it is no longer essential to care. (Records 7–9)</w:t>
      </w:r>
    </w:p>
    <w:p>
      <w:r>
        <w:rPr>
          <w:b/>
          <w:i/>
          <w:sz w:val="18"/>
        </w:rPr>
        <w:t xml:space="preserve">Technical source(s) for these steps: </w:t>
      </w:r>
    </w:p>
    <w:p>
      <w:pPr>
        <w:pStyle w:val="ListParagraph"/>
      </w:pPr>
      <w:hyperlink r:id="rId11">
        <w:r>
          <w:rPr>
            <w:color w:val="0563C1"/>
            <w:u w:val="single"/>
          </w:rPr>
          <w:t>Centers for Disease Control and Prevention. (n.d.). Checklist for prevention of central line-associated bloodstream infections.</w:t>
        </w:r>
      </w:hyperlink>
    </w:p>
    <w:p>
      <w:pPr>
        <w:pStyle w:val="Heading2"/>
      </w:pPr>
      <w:r>
        <w:t>5.4 Prevent surgical site infections (SSI)</w:t>
      </w:r>
    </w:p>
    <w:p>
      <w:r>
        <w:rPr>
          <w:b/>
          <w:i/>
        </w:rPr>
        <w:t xml:space="preserve">Why this step matters: </w:t>
      </w:r>
      <w:r>
        <w:rPr>
          <w:i/>
        </w:rPr>
        <w:t>Surgical site infections can be driven by a failure at any one of three separate phases — before, during, or after surgery — so a bundle that only covers the operating room misses real risk. This record proves the pre-, intra- and post-operative elements are all actually being followed, and that the SSI rate is tracked so the hospital knows if it's genuinely working. NABH checks this as part of how a functioning IPC programme actually runs day to day.</w:t>
      </w:r>
    </w:p>
    <w:p>
      <w:r>
        <w:t>1. Time preoperative antimicrobial prophylaxis so a bactericidal concentration is present at incision; do not give an additional dose after closure in clean/clean-contaminated cases (redose intraoperatively only for a prolonged procedure or major blood loss).</w:t>
      </w:r>
    </w:p>
    <w:p>
      <w:r>
        <w:t>2. If hair removal is necessary, clip — do not shave — and remove hair immediately before surgery, not the night before.</w:t>
      </w:r>
    </w:p>
    <w:p>
      <w:r>
        <w:t>3. Maintain perioperative normothermia and target perioperative blood glucose below 200 mg/dL in both diabetic and non-diabetic patients.</w:t>
      </w:r>
    </w:p>
    <w:p>
      <w:r>
        <w:t>4. Perform intraoperative skin antisepsis with an alcohol-based agent unless contraindicated, and ensure the patient bathes with soap before surgery.</w:t>
      </w:r>
    </w:p>
    <w:p>
      <w:r>
        <w:t>5. Use sterile technique for every invasive intraoperative step, and track/report SSI rates by procedure category for surveillance and feedback. (Records 10–12)</w:t>
      </w:r>
    </w:p>
    <w:p>
      <w:r>
        <w:rPr>
          <w:b/>
          <w:i/>
          <w:sz w:val="18"/>
        </w:rPr>
        <w:t xml:space="preserve">Technical source(s) for these steps: </w:t>
      </w:r>
    </w:p>
    <w:p>
      <w:pPr>
        <w:pStyle w:val="ListParagraph"/>
      </w:pPr>
      <w:r>
        <w:rPr>
          <w:i/>
          <w:sz w:val="18"/>
        </w:rPr>
        <w:t>Centers for Disease Control and Prevention. (2017). Guideline for the prevention of surgical site infection.</w:t>
      </w:r>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Do not insert an indwelling urinary catheter, insert a central line, start invasive ventilation, or make a surgical incision unless the organisation's prevention bundle for that HAI (CAUTI, CLABSI, VAP or SSI) is in place for this patient. Stop-work applies to the device insertion or incision. Life-saving airway or haemorrhage control continues with the best available precautions and the bundle is completed as soon as the patient is stable. The person who stops tells the treating doctor and the Infection Prevention and Control Officer the same shift. Refusing an insertion without the bundle is not a disciplinary matter.</w:t>
      </w:r>
    </w:p>
    <w:p>
      <w:pPr>
        <w:pStyle w:val="Heading1"/>
      </w:pPr>
      <w:r>
        <w:t>7. Records</w:t>
      </w:r>
    </w:p>
    <w:p>
      <w:r>
        <w:t>This SOP produces and maintains Records 1 through 13 (see the IPC.5 Records folder).</w:t>
      </w:r>
    </w:p>
    <w:p>
      <w:pPr>
        <w:pStyle w:val="Heading1"/>
      </w:pPr>
      <w:r>
        <w:t>8. Related Documents</w:t>
      </w:r>
    </w:p>
    <w:p>
      <w:pPr>
        <w:pStyle w:val="ListParagraph"/>
      </w:pPr>
      <w:r>
        <w:t>Policy on Prevention of Healthcare Associated Infections in Patients (HCO/IPC/POL/05) — this policy</w:t>
      </w:r>
    </w:p>
    <w:p>
      <w:pPr>
        <w:pStyle w:val="ListParagraph"/>
      </w:pPr>
      <w:r>
        <w:t>Required Records — IPC.5 (see IPC.5 Records folder)</w:t>
      </w:r>
    </w:p>
    <w:p>
      <w:pPr>
        <w:pStyle w:val="Heading1"/>
      </w:pPr>
      <w:r>
        <w:t>9. Where This SOP's Requirements Come From (Verified Sources)</w:t>
      </w:r>
    </w:p>
    <w:p>
      <w:pPr>
        <w:pStyle w:val="ListParagraph"/>
      </w:pPr>
      <w:hyperlink r:id="rId14">
        <w:r>
          <w:rPr>
            <w:rStyle w:val="Hyperlink"/>
            <w:i/>
          </w:rPr>
          <w:t>National Accreditation Board for Hospitals and Healthcare Providers. (2025). NABH accreditation standards for hospitals (6th ed.), IPC.5. ISBN 978-81-965264-9-8. https://portal.nabh.co/images/Standards/NABH%20Hospital%20Accreditation%20Standard%206th%20Edition%20January%202025.pdf</w:t>
        </w:r>
      </w:hyperlink>
    </w:p>
    <w:p>
      <w:pPr>
        <w:pStyle w:val="ListParagraph"/>
      </w:pPr>
      <w:hyperlink r:id="rId15">
        <w:r>
          <w:rPr>
            <w:rStyle w:val="Hyperlink"/>
            <w:i/>
          </w:rPr>
          <w:t>National Centre for Disease Control &amp; Ministry of Health and Family Welfare, Government of India. (2020). National guidelines for infection prevention and control in healthcare facilities. https://cdn.who.int/media/docs/default-source/searo/india/antimicrobial-resistance/ipcguidelines-web-sep2020.pdf</w:t>
        </w:r>
      </w:hyperlink>
    </w:p>
    <w:p>
      <w:pPr>
        <w:pStyle w:val="ListParagraph"/>
      </w:pPr>
      <w:hyperlink r:id="rId12">
        <w:r>
          <w:rPr>
            <w:color w:val="0563C1"/>
            <w:u w:val="single"/>
          </w:rPr>
          <w:t>Centers for Disease Control and Prevention — Core Infection Prevention and Control Practices, reference list (with SHEA and WHO alignment)</w:t>
        </w:r>
      </w:hyperlink>
    </w:p>
    <w:p>
      <w:pPr>
        <w:pStyle w:val="ListParagraph"/>
      </w:pPr>
      <w:hyperlink r:id="rId13">
        <w:r>
          <w:rPr>
            <w:color w:val="0563C1"/>
            <w:u w:val="single"/>
          </w:rPr>
          <w:t>World Health Organization (2022) — The WHO AWaRe (Access, Watch, Reserve) Antibiotic Book</w:t>
        </w:r>
      </w:hyperlink>
    </w:p>
    <w:p>
      <w:pPr>
        <w:pStyle w:val="Heading1"/>
      </w:pPr>
      <w:r>
        <w:t>10. Review</w:t>
      </w:r>
    </w:p>
    <w:p>
      <w:r>
        <w:t>This SOP is reviewed at least annually by the IPC Officer together with the IPC Committee, using the outcomes of the annual programme review and the validated assessment tool, and immediately if a gap analysis or audit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infection-control/hcp/cauti/index.html" TargetMode="External"/><Relationship Id="rId10" Type="http://schemas.openxmlformats.org/officeDocument/2006/relationships/hyperlink" Target="https://cha.com/wp-content/uploads/2018/03/IHI-HowtoGuidePreventVAP-with-bundle.pdf" TargetMode="External"/><Relationship Id="rId11" Type="http://schemas.openxmlformats.org/officeDocument/2006/relationships/hyperlink" Target="https://www.cdc.gov/healthcare-associated-infections/media/pdfs/checklist-for-CLABSI-P.pdf" TargetMode="External"/><Relationship Id="rId12" Type="http://schemas.openxmlformats.org/officeDocument/2006/relationships/hyperlink" Target="https://www.cdc.gov/infection-control/hcp/core-practices/references.html" TargetMode="External"/><Relationship Id="rId13" Type="http://schemas.openxmlformats.org/officeDocument/2006/relationships/hyperlink" Target="https://www.who.int/publications/i/item/9789240062382" TargetMode="External"/><Relationship Id="rId14" Type="http://schemas.openxmlformats.org/officeDocument/2006/relationships/hyperlink" Target="https://portal.nabh.co/images/Standards/NABH%20Hospital%20Accreditation%20Standard%206th%20Edition%20January%202025.pdf" TargetMode="External"/><Relationship Id="rId15" Type="http://schemas.openxmlformats.org/officeDocument/2006/relationships/hyperlink" Target="https://cdn.who.int/media/docs/default-source/searo/india/antimicrobial-resistance/ipcguidelines-web-sep20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