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Standard Operating Procedure</w:t>
      </w:r>
    </w:p>
    <w:p>
      <w:r>
        <w:rPr>
          <w:b/>
          <w:sz w:val="26"/>
        </w:rPr>
        <w:t>Infection Prevention and Control Surveillance</w:t>
      </w:r>
    </w:p>
    <w:p>
      <w:r>
        <w:t>«Hospital Name» — Supports IPC.6</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this SOP exist? (read this first if you're new)</w:t>
            </w:r>
          </w:p>
          <w:p>
            <w:r>
              <w:rPr>
                <w:sz w:val="20"/>
              </w:rPr>
              <w:t>This policy explains how «Hospital Name» performs IPC surveillance to capture and monitor infection risks, rates and trends, verify data, direct surveillance at high-risk activities and areas, monitor hand-hygiene compliance, capture multi-drug-resistant organisms, monitor housekeeping effectiveness, feed back surveillance data to healthcare providers, identify and respond to outbreaks, and take corrective and preventive action based on surveillance findings. The clinical IPC processes, HAI-prevention bundles, and IPC programme governance are covered in separate hospital policies. If you're new to infection prevention and control, the short version is: this SOP tells you exactly what to do, in what order, and which record proves you did it.</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SOP No.</w:t>
            </w:r>
          </w:p>
        </w:tc>
        <w:tc>
          <w:tcPr>
            <w:tcW w:type="dxa" w:w="2420"/>
          </w:tcPr>
          <w:p>
            <w:r/>
            <w:r>
              <w:rPr>
                <w:b w:val="0"/>
                <w:sz w:val="20"/>
              </w:rPr>
              <w:t>[Hospital to define]</w:t>
            </w:r>
          </w:p>
        </w:tc>
        <w:tc>
          <w:tcPr>
            <w:tcW w:type="dxa" w:w="2420"/>
            <w:shd w:val="clear" w:fill="D9E2F3"/>
          </w:tcPr>
          <w:p>
            <w:r/>
            <w:r>
              <w:rPr>
                <w:b/>
                <w:sz w:val="20"/>
              </w:rPr>
              <w:t>Version</w:t>
            </w:r>
          </w:p>
        </w:tc>
        <w:tc>
          <w:tcPr>
            <w:tcW w:type="dxa" w:w="2420"/>
          </w:tcPr>
          <w:p>
            <w:r/>
            <w:r>
              <w:rPr>
                <w:b w:val="0"/>
                <w:sz w:val="20"/>
              </w:rPr>
              <w:t>1.0</w:t>
            </w:r>
          </w:p>
        </w:tc>
      </w:tr>
      <w:tr>
        <w:tc>
          <w:tcPr>
            <w:tcW w:type="dxa" w:w="2420"/>
            <w:shd w:val="clear" w:fill="D9E2F3"/>
          </w:tcPr>
          <w:p>
            <w:r/>
            <w:r>
              <w:rPr>
                <w:b/>
                <w:sz w:val="20"/>
              </w:rPr>
              <w:t>Effective Date</w:t>
            </w:r>
          </w:p>
        </w:tc>
        <w:tc>
          <w:tcPr>
            <w:tcW w:type="dxa" w:w="2420"/>
          </w:tcPr>
          <w:p>
            <w:r/>
            <w:r>
              <w:rPr>
                <w:b w:val="0"/>
                <w:sz w:val="20"/>
              </w:rPr>
              <w:t>________</w:t>
            </w:r>
          </w:p>
        </w:tc>
        <w:tc>
          <w:tcPr>
            <w:tcW w:type="dxa" w:w="2420"/>
            <w:shd w:val="clear" w:fill="D9E2F3"/>
          </w:tcPr>
          <w:p>
            <w:r/>
            <w:r>
              <w:rPr>
                <w:b/>
                <w:sz w:val="20"/>
              </w:rPr>
              <w:t>Review Frequency</w:t>
            </w:r>
          </w:p>
        </w:tc>
        <w:tc>
          <w:tcPr>
            <w:tcW w:type="dxa" w:w="2420"/>
          </w:tcPr>
          <w:p>
            <w:r/>
            <w:r>
              <w:rPr>
                <w:b w:val="0"/>
                <w:sz w:val="20"/>
              </w:rPr>
              <w:t>Annual, or on change</w:t>
            </w:r>
          </w:p>
        </w:tc>
      </w:tr>
      <w:tr>
        <w:tc>
          <w:tcPr>
            <w:tcW w:type="dxa" w:w="2420"/>
            <w:shd w:val="clear" w:fill="D9E2F3"/>
          </w:tcPr>
          <w:p>
            <w:r/>
            <w:r>
              <w:rPr>
                <w:b/>
                <w:sz w:val="20"/>
              </w:rPr>
              <w:t>Prepared By</w:t>
            </w:r>
          </w:p>
        </w:tc>
        <w:tc>
          <w:tcPr>
            <w:tcW w:type="dxa" w:w="7260"/>
            <w:gridSpan w:val="3"/>
          </w:tcPr>
          <w:p>
            <w:r/>
            <w:r>
              <w:rPr>
                <w:b w:val="0"/>
                <w:sz w:val="20"/>
              </w:rPr>
              <w:t>Quality Coordinator   Name: ________   Signature: ________</w:t>
            </w:r>
          </w:p>
        </w:tc>
      </w:tr>
      <w:tr>
        <w:tc>
          <w:tcPr>
            <w:tcW w:type="dxa" w:w="2420"/>
            <w:shd w:val="clear" w:fill="D9E2F3"/>
          </w:tcPr>
          <w:p>
            <w:r/>
            <w:r>
              <w:rPr>
                <w:b/>
                <w:sz w:val="20"/>
              </w:rPr>
              <w:t>Approved By</w:t>
            </w:r>
          </w:p>
        </w:tc>
        <w:tc>
          <w:tcPr>
            <w:tcW w:type="dxa" w:w="7260"/>
            <w:gridSpan w:val="3"/>
          </w:tcPr>
          <w:p>
            <w:r/>
            <w:r>
              <w:rPr>
                <w:b w:val="0"/>
                <w:sz w:val="20"/>
              </w:rPr>
              <w:t>Medical Superintendent   Name: ________   Signature: ________</w:t>
            </w:r>
          </w:p>
        </w:tc>
      </w:tr>
    </w:tbl>
    <w:p>
      <w:pPr>
        <w:pStyle w:val="Heading1"/>
      </w:pPr>
      <w:r>
        <w:t>1. Purpose</w:t>
      </w:r>
    </w:p>
    <w:p>
      <w:r>
        <w:t>This policy explains how «Hospital Name» performs IPC surveillance to capture and monitor infection risks, rates and trends, verify data, direct surveillance at high-risk activities and areas, monitor hand-hygiene compliance, capture multi-drug-resistant organisms, monitor housekeeping effectiveness, feed back surveillance data to healthcare providers, identify and respond to outbreaks, and take corrective and preventive action based on surveillance findings. The clinical IPC processes, HAI-prevention bundles, and IPC programme governance are covered in separate hospital policies.</w:t>
      </w:r>
    </w:p>
    <w:p>
      <w:pPr>
        <w:pStyle w:val="Heading1"/>
      </w:pPr>
      <w:r>
        <w:t>2. Scope</w:t>
      </w:r>
    </w:p>
    <w:p>
      <w:r>
        <w:t>This policy applies to the IPC Officer, IPC Nurse(s), link nurses, the IPC committee, and all clinical staff whose practice is assessed through IPC surveillance activities at «Hospital Name».</w:t>
      </w:r>
    </w:p>
    <w:p>
      <w:pPr>
        <w:pStyle w:val="Heading1"/>
      </w:pPr>
      <w:r>
        <w:t>3. Responsibility</w:t>
      </w:r>
    </w:p>
    <w:p>
      <w:r>
        <w:t xml:space="preserve">IPC Officer (IPCO): </w:t>
      </w:r>
      <w:r>
        <w:t>leads the programme covered by this policy, owns the required records, and is accountable to the IPC Committee for it.</w:t>
      </w:r>
    </w:p>
    <w:p>
      <w:r>
        <w:t xml:space="preserve">IPC Nurse(s) (IPCN): </w:t>
      </w:r>
      <w:r>
        <w:t>carries out the day-to-day activities described below and keeps the records current.</w:t>
      </w:r>
    </w:p>
    <w:p>
      <w:r>
        <w:t xml:space="preserve">Link Nurses: </w:t>
      </w:r>
      <w:r>
        <w:t>support IPC activities within their own clinical area.</w:t>
      </w:r>
    </w:p>
    <w:p>
      <w:r>
        <w:t xml:space="preserve">IPC Committee: </w:t>
      </w:r>
      <w:r>
        <w:t>reviews progress on this policy at least monthly and signs off the annual review.</w:t>
      </w:r>
    </w:p>
    <w:p>
      <w:r>
        <w:t xml:space="preserve">All staff in scope: </w:t>
      </w:r>
      <w:r>
        <w:t>follow the steps below and raise any Stop-Work concern immediately, without waiting for permission.</w:t>
      </w:r>
    </w:p>
    <w:p>
      <w:pPr>
        <w:pStyle w:val="Heading1"/>
      </w:pPr>
      <w:r>
        <w:t>4. Plain-Language Glossary</w:t>
      </w:r>
    </w:p>
    <w:p>
      <w:r>
        <w:t>If a word below is unfamiliar, this is what it means in this SOP:</w:t>
      </w:r>
    </w:p>
    <w:p>
      <w:pPr>
        <w:pStyle w:val="ListParagraph"/>
      </w:pPr>
      <w:r>
        <w:rPr>
          <w:b/>
        </w:rPr>
        <w:t xml:space="preserve">HAI: </w:t>
      </w:r>
      <w:r>
        <w:t>Healthcare-Associated Infection — an infection a patient picked up during their hospital stay, not one they came in with.</w:t>
      </w:r>
    </w:p>
    <w:p>
      <w:pPr>
        <w:pStyle w:val="ListParagraph"/>
      </w:pPr>
      <w:r>
        <w:rPr>
          <w:b/>
        </w:rPr>
        <w:t xml:space="preserve">WHO's 5 Moments for Hand Hygiene: </w:t>
      </w:r>
      <w:r>
        <w:t>WHO's simple rule for exactly when to clean your hands: (1) before touching a patient, (2) before a clean/aseptic procedure, (3) after any body-fluid exposure risk, (4) after touching a patient, (5) after touching anything in the patient's surroundings.</w:t>
      </w:r>
    </w:p>
    <w:p>
      <w:pPr>
        <w:pStyle w:val="ListParagraph"/>
      </w:pPr>
      <w:r>
        <w:rPr>
          <w:b/>
        </w:rPr>
        <w:t xml:space="preserve">MDRO (Multi-Drug-Resistant Organism): </w:t>
      </w:r>
      <w:r>
        <w:t>A bacteria or other organism that has become resistant to several classes of antibiotics, making infections with it much harder to treat — e.g. MRSA, VRE, CRE.</w:t>
      </w:r>
    </w:p>
    <w:p>
      <w:pPr>
        <w:pStyle w:val="ListParagraph"/>
      </w:pPr>
      <w:r>
        <w:rPr>
          <w:b/>
        </w:rPr>
        <w:t xml:space="preserve">Antibiogram: </w:t>
      </w:r>
      <w:r>
        <w:t>A hospital's own periodic summary of which antibiotics its local bacteria are actually still sensitive to, built from its own lab's culture results — used to choose the right empiric antibiotic before culture results come back.</w:t>
      </w:r>
    </w:p>
    <w:p>
      <w:pPr>
        <w:pStyle w:val="Heading1"/>
      </w:pPr>
      <w:r>
        <w:t>5. Procedure</w:t>
      </w:r>
    </w:p>
    <w:p>
      <w:pPr>
        <w:pStyle w:val="Heading2"/>
      </w:pPr>
      <w:r>
        <w:t>5.1 Track infection risks, rates and trends</w:t>
      </w:r>
    </w:p>
    <w:p>
      <w:r>
        <w:rPr>
          <w:b/>
          <w:i/>
        </w:rPr>
        <w:t xml:space="preserve">Why this step matters: </w:t>
      </w:r>
      <w:r>
        <w:rPr>
          <w:i/>
        </w:rPr>
        <w:t>A raw infection count means little on its own — five CAUTIs mean something very different in a 50-bed ICU's patient-days versus a 500-bed one's. This record proves the hospital calculates a risk-adjusted rate, not just a headline number, and actually acts on what the trend shows rather than just filing it. This is a CORE requirement — NABH treats it as non-negotiable, not aspirational.</w:t>
      </w:r>
    </w:p>
    <w:p>
      <w:r>
        <w:t>1. Choose indicators across Donabedian's three domains — structure (staffing, equipment), process (protocol adherence, hand-hygiene rate) and outcome (infection rate, mortality) — not outcomes alone.</w:t>
      </w:r>
    </w:p>
    <w:p>
      <w:r>
        <w:t>2. Define each indicator's numerator, denominator and data source precisely before collecting a single data point.</w:t>
      </w:r>
    </w:p>
    <w:p>
      <w:r>
        <w:t>3. Plot every indicator on a control chart over time, not a one-off snapshot, with a centre line and upper/lower control limits.</w:t>
      </w:r>
    </w:p>
    <w:p>
      <w:r>
        <w:t>4. Apply standard signal rules — a point outside the limits, 8+ consecutive points on one side of the mean, or a 6+ point trend — to tell a real signal from normal variation before reacting. (Records 1–3)</w:t>
      </w:r>
    </w:p>
    <w:p>
      <w:r>
        <w:rPr>
          <w:b/>
          <w:i/>
          <w:sz w:val="18"/>
        </w:rPr>
        <w:t xml:space="preserve">Technical source(s) for these steps: </w:t>
      </w:r>
    </w:p>
    <w:p>
      <w:pPr>
        <w:pStyle w:val="ListParagraph"/>
      </w:pPr>
      <w:hyperlink r:id="rId9">
        <w:r>
          <w:rPr>
            <w:color w:val="0563C1"/>
            <w:u w:val="single"/>
          </w:rPr>
          <w:t>CASRAI. (n.d.). Donabedian model: Structure, process, outcome.</w:t>
        </w:r>
      </w:hyperlink>
    </w:p>
    <w:p>
      <w:pPr>
        <w:pStyle w:val="Heading2"/>
      </w:pPr>
      <w:r>
        <w:t>5.2 Verify surveillance data</w:t>
      </w:r>
    </w:p>
    <w:p>
      <w:r>
        <w:rPr>
          <w:b/>
          <w:i/>
        </w:rPr>
        <w:t xml:space="preserve">Why this step matters: </w:t>
      </w:r>
      <w:r>
        <w:rPr>
          <w:i/>
        </w:rPr>
        <w:t>Surveillance data that nobody double-checks can quietly drift from what's really happening on the wards, and the hospital would have no way of knowing until the numbers were already wrong. This record is the proof that someone independently verified the numbers, or an honest documented note explaining why that step wasn't needed. NABH checks this as part of how a functioning IPC programme actually runs day to day.</w:t>
      </w:r>
    </w:p>
    <w:p>
      <w:r>
        <w:t>1. Have someone other than the original data collector re-check a sample of surveillance data against source records on a fixed schedule.</w:t>
      </w:r>
    </w:p>
    <w:p>
      <w:r>
        <w:t>2. Record the verification date, verifier, and whether a discrepancy was found; correct and re-file any discrepancy found.</w:t>
      </w:r>
    </w:p>
    <w:p>
      <w:r>
        <w:t>3. Feed verification findings back into data-collection training if the same error type recurs. (Record 4)</w:t>
      </w:r>
    </w:p>
    <w:p>
      <w:r>
        <w:rPr>
          <w:b/>
          <w:i/>
          <w:sz w:val="18"/>
        </w:rPr>
        <w:t xml:space="preserve">Technical source(s) for these steps: </w:t>
      </w:r>
    </w:p>
    <w:p>
      <w:pPr>
        <w:pStyle w:val="ListParagraph"/>
      </w:pPr>
      <w:hyperlink r:id="rId9">
        <w:r>
          <w:rPr>
            <w:color w:val="0563C1"/>
            <w:u w:val="single"/>
          </w:rPr>
          <w:t>CASRAI. (n.d.). Donabedian model: Structure, process, outcome.</w:t>
        </w:r>
      </w:hyperlink>
    </w:p>
    <w:p>
      <w:pPr>
        <w:pStyle w:val="Heading2"/>
      </w:pPr>
      <w:r>
        <w:t>5.3 Direct surveillance at identified high-risk activities</w:t>
      </w:r>
    </w:p>
    <w:p>
      <w:r>
        <w:rPr>
          <w:b/>
          <w:i/>
        </w:rPr>
        <w:t xml:space="preserve">Why this step matters: </w:t>
      </w:r>
      <w:r>
        <w:rPr>
          <w:i/>
        </w:rPr>
        <w:t>Surveillance spread evenly across every low-risk and high-risk area alike wastes effort exactly where it matters least. This record proves the areas that actually carry the highest infection risk — including active construction or demolition zones — get surveillance at a frequency and method suited to that risk, not the hospital-wide default. NABH checks this as part of how a functioning IPC programme actually runs day to day.</w:t>
      </w:r>
    </w:p>
    <w:p>
      <w:r>
        <w:t>1. Target surveillance effort at the high-risk activities and areas already identified under IPC.1.5.2 — don't spread surveillance thinly and evenly across low-risk areas at the expense of high-risk ones.</w:t>
      </w:r>
    </w:p>
    <w:p>
      <w:r>
        <w:t>2. Review and re-target the surveillance plan whenever the high-risk list itself is updated. (Records 5–6)</w:t>
      </w:r>
    </w:p>
    <w:p>
      <w:r>
        <w:rPr>
          <w:b/>
          <w:i/>
          <w:sz w:val="18"/>
        </w:rPr>
        <w:t xml:space="preserve">Technical source(s) for these steps: </w:t>
      </w:r>
    </w:p>
    <w:p>
      <w:pPr>
        <w:pStyle w:val="ListParagraph"/>
      </w:pPr>
      <w:hyperlink r:id="rId10">
        <w:r>
          <w:rPr>
            <w:color w:val="0563C1"/>
            <w:u w:val="single"/>
          </w:rPr>
          <w:t>World Health Organization. (2018). Infection prevention and control assessment framework at the facility level (IPCAF).</w:t>
        </w:r>
      </w:hyperlink>
    </w:p>
    <w:p>
      <w:pPr>
        <w:pStyle w:val="Heading2"/>
      </w:pPr>
      <w:r>
        <w:t>5.4 Monitor hand-hygiene compliance</w:t>
      </w:r>
    </w:p>
    <w:p>
      <w:r>
        <w:rPr>
          <w:b/>
          <w:i/>
        </w:rPr>
        <w:t xml:space="preserve">Why this step matters: </w:t>
      </w:r>
      <w:r>
        <w:rPr>
          <w:i/>
        </w:rPr>
        <w:t>Compliance data that never reaches the staff being observed changes nothing — people only improve what they can see is actually being measured and shared back. This record proves the numbers were collected across every category of direct-patient-care staff, and were genuinely communicated back to them, not just filed with the IPC team. This is a CORE requirement — NABH treats it as non-negotiable, not aspirational.</w:t>
      </w:r>
    </w:p>
    <w:p>
      <w:r>
        <w:t>1. Use WHO's direct-observation method: a trained observer records, moment by moment, whether hand hygiene was performed at each of the 5 Moments, for a defined observation session.</w:t>
      </w:r>
    </w:p>
    <w:p>
      <w:r>
        <w:t>2. Calculate compliance as (hand-hygiene actions performed ÷ hand-hygiene opportunities observed) × 100, using the WHO observation form.</w:t>
      </w:r>
    </w:p>
    <w:p>
      <w:r>
        <w:t>3. Run observation sessions on a fixed schedule across all patient-care areas, not only where compliance is assumed to be good.</w:t>
      </w:r>
    </w:p>
    <w:p>
      <w:r>
        <w:t>4. Feed the compliance rate back to the observed unit promptly, by name of unit, not as a single hospital-wide average that hides poor performers. (Records 7–8)</w:t>
      </w:r>
    </w:p>
    <w:p>
      <w:r>
        <w:rPr>
          <w:b/>
          <w:i/>
          <w:sz w:val="18"/>
        </w:rPr>
        <w:t xml:space="preserve">Technical source(s) for these steps: </w:t>
      </w:r>
    </w:p>
    <w:p>
      <w:pPr>
        <w:pStyle w:val="ListParagraph"/>
      </w:pPr>
      <w:hyperlink r:id="rId11">
        <w:r>
          <w:rPr>
            <w:color w:val="0563C1"/>
            <w:u w:val="single"/>
          </w:rPr>
          <w:t>World Health Organization. (n.d.). Multimodal hand hygiene improvement strategy and observation form.</w:t>
        </w:r>
      </w:hyperlink>
    </w:p>
    <w:p>
      <w:pPr>
        <w:pStyle w:val="Heading2"/>
      </w:pPr>
      <w:r>
        <w:t>5.5 Capture multi-drug-resistant organisms</w:t>
      </w:r>
    </w:p>
    <w:p>
      <w:r>
        <w:rPr>
          <w:b/>
          <w:i/>
        </w:rPr>
        <w:t xml:space="preserve">Why this step matters: </w:t>
      </w:r>
      <w:r>
        <w:rPr>
          <w:i/>
        </w:rPr>
        <w:t>A drug-resistant organism that spreads silently between patients before anyone notices can turn into an outbreak that's very hard to contain once it's visible. This record proves the hospital has a real, working mechanism — not just a policy — for catching and containing resistant organisms the moment they're detected. This is an Achievement-level requirement — NABH expects mature, ongoing evidence of impact, not a one-time exercise.</w:t>
      </w:r>
    </w:p>
    <w:p>
      <w:r>
        <w:t>1. Flag every culture-confirmed multi-drug-resistant organism (MDRO) result from the laboratory to the IPC team the same day it is confirmed.</w:t>
      </w:r>
    </w:p>
    <w:p>
      <w:r>
        <w:t>2. Place the patient on Contact Precautions (see IPC.3.5.3) immediately on flagging, without waiting for a formal IPC review.</w:t>
      </w:r>
    </w:p>
    <w:p>
      <w:r>
        <w:t>3. Log every MDRO case (organism, unit, date) into the surveillance dataset feeding the hospital's own antibiogram.</w:t>
      </w:r>
    </w:p>
    <w:p>
      <w:r>
        <w:t>4. Track MDRO trend by organism and by unit over time, the same way any other surveillance indicator is tracked (see IPC.6.5.1). (Records 9–10)</w:t>
      </w:r>
    </w:p>
    <w:p>
      <w:r>
        <w:rPr>
          <w:b/>
          <w:i/>
          <w:sz w:val="18"/>
        </w:rPr>
        <w:t xml:space="preserve">Technical source(s) for these steps: </w:t>
      </w:r>
    </w:p>
    <w:p>
      <w:pPr>
        <w:pStyle w:val="ListParagraph"/>
      </w:pPr>
      <w:hyperlink r:id="rId12">
        <w:r>
          <w:rPr>
            <w:color w:val="0563C1"/>
            <w:u w:val="single"/>
          </w:rPr>
          <w:t>Centers for Disease Control and Prevention. (n.d.). Core infection prevention and control practices for safe healthcare delivery.</w:t>
        </w:r>
      </w:hyperlink>
    </w:p>
    <w:p>
      <w:pPr>
        <w:pStyle w:val="Heading2"/>
      </w:pPr>
      <w:r>
        <w:t>5.6 Monitor the effectiveness of housekeeping</w:t>
      </w:r>
    </w:p>
    <w:p>
      <w:r>
        <w:rPr>
          <w:b/>
          <w:i/>
        </w:rPr>
        <w:t xml:space="preserve">Why this step matters: </w:t>
      </w:r>
      <w:r>
        <w:rPr>
          <w:i/>
        </w:rPr>
        <w:t>'The floor looks clean' is not a measurable outcome, and unrestricted fogging or routine microbiological surface swabbing are both practices the evidence specifically advises against. This record proves cleaning effectiveness is checked against defined, measurable outcome parameters, and that fogging — if used at all — stayed strictly within the specific conditions where it's actually justified. This is a CORE requirement — NABH treats it as non-negotiable, not aspirational.</w:t>
      </w:r>
    </w:p>
    <w:p>
      <w:r>
        <w:t>1. Audit cleaning thoroughness periodically using an objective method — a fluorescent-gel marker applied before cleaning and checked under UV light afterward, or an ATP-bioluminescence swab test on high-touch points.</w:t>
      </w:r>
    </w:p>
    <w:p>
      <w:r>
        <w:t>2. Score each audited area/surface pass or fail against a defined threshold, and log the result by area and date.</w:t>
      </w:r>
    </w:p>
    <w:p>
      <w:r>
        <w:t>3. Feed results back to housekeeping supervisors promptly and re-train where a pattern of misses appears. (Records 11–14)</w:t>
      </w:r>
    </w:p>
    <w:p>
      <w:r>
        <w:rPr>
          <w:b/>
          <w:i/>
          <w:sz w:val="18"/>
        </w:rPr>
        <w:t xml:space="preserve">Technical source(s) for these steps: </w:t>
      </w:r>
    </w:p>
    <w:p>
      <w:pPr>
        <w:pStyle w:val="ListParagraph"/>
      </w:pPr>
      <w:hyperlink r:id="rId13">
        <w:r>
          <w:rPr>
            <w:color w:val="0563C1"/>
            <w:u w:val="single"/>
          </w:rPr>
          <w:t>Centers for Disease Control and Prevention. (n.d.). Environmental cleaning procedures.</w:t>
        </w:r>
      </w:hyperlink>
    </w:p>
    <w:p>
      <w:pPr>
        <w:pStyle w:val="Heading2"/>
      </w:pPr>
      <w:r>
        <w:t>5.7 Feed surveillance data back to healthcare providers</w:t>
      </w:r>
    </w:p>
    <w:p>
      <w:r>
        <w:rPr>
          <w:b/>
          <w:i/>
        </w:rPr>
        <w:t xml:space="preserve">Why this step matters: </w:t>
      </w:r>
      <w:r>
        <w:rPr>
          <w:i/>
        </w:rPr>
        <w:t>Surveillance data that stays inside the IPC team's own files never changes anyone's clinical practice. This record proves the findings — rates, trends, and what needs to improve — actually reached the doctors and unit in-charges who can act on them, not just the people who collected them. NABH checks this as part of how a functioning IPC programme actually runs day to day.</w:t>
      </w:r>
    </w:p>
    <w:p>
      <w:r>
        <w:t>1. Share indicator results with the specific unit/team they concern, not only as an aggregate hospital-wide report.</w:t>
      </w:r>
    </w:p>
    <w:p>
      <w:r>
        <w:t>2. Report on a fixed schedule (e.g. monthly), through the IPC Committee, so feedback is routine rather than only happening after a bad outcome.</w:t>
      </w:r>
    </w:p>
    <w:p>
      <w:r>
        <w:t>3. Pair every reported number with what it means and what's expected next, not a number alone. (Records 15–16)</w:t>
      </w:r>
    </w:p>
    <w:p>
      <w:r>
        <w:rPr>
          <w:b/>
          <w:i/>
          <w:sz w:val="18"/>
        </w:rPr>
        <w:t xml:space="preserve">Technical source(s) for these steps: </w:t>
      </w:r>
    </w:p>
    <w:p>
      <w:pPr>
        <w:pStyle w:val="ListParagraph"/>
      </w:pPr>
      <w:hyperlink r:id="rId9">
        <w:r>
          <w:rPr>
            <w:color w:val="0563C1"/>
            <w:u w:val="single"/>
          </w:rPr>
          <w:t>CASRAI. (n.d.). Donabedian model: Structure, process, outcome.</w:t>
        </w:r>
      </w:hyperlink>
    </w:p>
    <w:p>
      <w:pPr>
        <w:pStyle w:val="Heading2"/>
      </w:pPr>
      <w:r>
        <w:t>5.8 Identify and respond to outbreaks</w:t>
      </w:r>
    </w:p>
    <w:p>
      <w:r>
        <w:rPr>
          <w:b/>
          <w:i/>
        </w:rPr>
        <w:t xml:space="preserve">Why this step matters: </w:t>
      </w:r>
      <w:r>
        <w:rPr>
          <w:i/>
        </w:rPr>
        <w:t>Without a written definition of what counts as an outbreak — tied to the hospital's own baseline infection rates — a real outbreak can go unrecognised until it's already much bigger than it needed to be. This record proves the hospital knows what an outbreak looks like for it specifically, and has actually tested or genuinely used its response plan. This is a Commitment-level requirement — NABH expects the hospital to be actively working toward and evidencing it, not just planning to.</w:t>
      </w:r>
    </w:p>
    <w:p>
      <w:r>
        <w:t>1. Define, in the IPC Manual, exactly what counts as a possible outbreak for this hospital (e.g. a cluster of the same organism above the expected baseline in a defined time/area).</w:t>
      </w:r>
    </w:p>
    <w:p>
      <w:r>
        <w:t>2. On detection, notify the IPC Officer immediately and convene an outbreak-response review, not wait for the next scheduled committee meeting.</w:t>
      </w:r>
    </w:p>
    <w:p>
      <w:r>
        <w:t>3. Apply enhanced precautions and targeted surveillance in the affected area while the investigation is ongoing.</w:t>
      </w:r>
    </w:p>
    <w:p>
      <w:r>
        <w:t>4. Document the investigation, the actions taken, and the outcome, and report it to the IPC Committee for closure. (Records 17–20)</w:t>
      </w:r>
    </w:p>
    <w:p>
      <w:r>
        <w:rPr>
          <w:b/>
          <w:i/>
          <w:sz w:val="18"/>
        </w:rPr>
        <w:t xml:space="preserve">Technical source(s) for these steps: </w:t>
      </w:r>
    </w:p>
    <w:p>
      <w:pPr>
        <w:pStyle w:val="ListParagraph"/>
      </w:pPr>
      <w:hyperlink r:id="rId10">
        <w:r>
          <w:rPr>
            <w:color w:val="0563C1"/>
            <w:u w:val="single"/>
          </w:rPr>
          <w:t>World Health Organization. (2018). Infection prevention and control assessment framework at the facility level (IPCAF).</w:t>
        </w:r>
      </w:hyperlink>
    </w:p>
    <w:p>
      <w:pPr>
        <w:pStyle w:val="Heading2"/>
      </w:pPr>
      <w:r>
        <w:t>5.9 Analyse surveillance data and take corrective and preventive action</w:t>
      </w:r>
    </w:p>
    <w:p>
      <w:r>
        <w:rPr>
          <w:b/>
          <w:i/>
        </w:rPr>
        <w:t xml:space="preserve">Why this step matters: </w:t>
      </w:r>
      <w:r>
        <w:rPr>
          <w:i/>
        </w:rPr>
        <w:t>Surveillance is wasted effort if the findings never turn into an actual decision. This record is the proof that the committee reviewed the data, decided on a corrective action, and tracked it to a real close — not left it open and forgotten in the minutes. NABH checks this as part of how a functioning IPC programme actually runs day to day.</w:t>
      </w:r>
    </w:p>
    <w:p>
      <w:r>
        <w:t>1. When a control-chart signal appears (see IPC.6.5.1), investigate for a real, special cause before acting — don't over-react to ordinary variation.</w:t>
      </w:r>
    </w:p>
    <w:p>
      <w:r>
        <w:t>2. Use a structured root-cause method (5 Whys or a fishbone/Ishikawa diagram) to find the systemic cause, not just the first visible mistake.</w:t>
      </w:r>
    </w:p>
    <w:p>
      <w:r>
        <w:t>3. Document a Corrective and Preventive Action (CAPA): what fixes the immediate problem, and what stops it recurring elsewhere, each with a named owner and due date.</w:t>
      </w:r>
    </w:p>
    <w:p>
      <w:r>
        <w:t>4. Verify the fix actually worked at the next data cycle before closing the CAPA. (Records 21–22)</w:t>
      </w:r>
    </w:p>
    <w:p>
      <w:r>
        <w:rPr>
          <w:b/>
          <w:i/>
          <w:sz w:val="18"/>
        </w:rPr>
        <w:t xml:space="preserve">Technical source(s) for these steps: </w:t>
      </w:r>
    </w:p>
    <w:p>
      <w:pPr>
        <w:pStyle w:val="ListParagraph"/>
      </w:pPr>
      <w:hyperlink r:id="rId9">
        <w:r>
          <w:rPr>
            <w:color w:val="0563C1"/>
            <w:u w:val="single"/>
          </w:rPr>
          <w:t>CASRAI. (n.d.). Donabedian model: Structure, process, outcome.</w:t>
        </w:r>
      </w:hyperlink>
    </w:p>
    <w:p>
      <w:pPr>
        <w:pStyle w:val="Heading1"/>
      </w:pPr>
      <w:r>
        <w:t>6. Records</w:t>
      </w:r>
    </w:p>
    <w:p>
      <w:r>
        <w:t>This SOP produces and maintains Records 1 through 22 (see the IPC.6 Records folder).</w:t>
      </w:r>
    </w:p>
    <w:p>
      <w:pPr>
        <w:pStyle w:val="Heading1"/>
      </w:pPr>
      <w:r>
        <w:t>7. Related Documents</w:t>
      </w:r>
    </w:p>
    <w:p>
      <w:pPr>
        <w:pStyle w:val="ListParagraph"/>
      </w:pPr>
      <w:r>
        <w:t>Policy on Infection Prevention and Control Surveillance (HCO/IPC/POL/06) — this policy</w:t>
      </w:r>
    </w:p>
    <w:p>
      <w:pPr>
        <w:pStyle w:val="ListParagraph"/>
      </w:pPr>
      <w:r>
        <w:t>Required Records — IPC.6 (see IPC.6 Records folder)</w:t>
      </w:r>
    </w:p>
    <w:p>
      <w:pPr>
        <w:pStyle w:val="Heading1"/>
      </w:pPr>
      <w:r>
        <w:t>8. Where This SOP's Requirements Come From (Verified Sources)</w:t>
      </w:r>
    </w:p>
    <w:p>
      <w:pPr>
        <w:pStyle w:val="ListParagraph"/>
      </w:pPr>
      <w:hyperlink r:id="rId14">
        <w:r>
          <w:rPr>
            <w:rStyle w:val="Hyperlink"/>
            <w:i/>
          </w:rPr>
          <w:t>National Accreditation Board for Hospitals and Healthcare Providers. (2025). NABH accreditation standards for hospitals (6th ed.), IPC.6. ISBN 978-81-965264-9-8. https://portal.nabh.co/images/Standards/NABH%20Hospital%20Accreditation%20Standard%206th%20Edition%20January%202025.pdf</w:t>
        </w:r>
      </w:hyperlink>
    </w:p>
    <w:p>
      <w:pPr>
        <w:pStyle w:val="ListParagraph"/>
      </w:pPr>
      <w:hyperlink r:id="rId15">
        <w:r>
          <w:rPr>
            <w:rStyle w:val="Hyperlink"/>
            <w:i/>
          </w:rPr>
          <w:t>National Centre for Disease Control &amp; Ministry of Health and Family Welfare, Government of India. (2020). National guidelines for infection prevention and control in healthcare facilities. https://cdn.who.int/media/docs/default-source/searo/india/antimicrobial-resistance/ipcguidelines-web-sep2020.pdf</w:t>
        </w:r>
      </w:hyperlink>
    </w:p>
    <w:p>
      <w:pPr>
        <w:pStyle w:val="ListParagraph"/>
      </w:pPr>
      <w:hyperlink r:id="rId10">
        <w:r>
          <w:rPr>
            <w:color w:val="0563C1"/>
            <w:u w:val="single"/>
          </w:rPr>
          <w:t>World Health Organization (2018) — Infection Prevention and Control Assessment Framework at the Facility Level (IPCAF)</w:t>
        </w:r>
      </w:hyperlink>
    </w:p>
    <w:p>
      <w:pPr>
        <w:pStyle w:val="Heading1"/>
      </w:pPr>
      <w:r>
        <w:t>9. Review</w:t>
      </w:r>
    </w:p>
    <w:p>
      <w:r>
        <w:t>This SOP is reviewed at least annually by the IPC Officer together with the IPC Committee, using the outcomes of the annual programme review and the validated assessment tool, and immediately if a gap analysis or audit finds it isn't working as written.</w:t>
      </w:r>
    </w:p>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casrai.org/guides/donabedian-model-structure-process-outcome" TargetMode="External"/><Relationship Id="rId10" Type="http://schemas.openxmlformats.org/officeDocument/2006/relationships/hyperlink" Target="https://www.who.int/publications/i/item/WHO-HIS-SDS-2018.9" TargetMode="External"/><Relationship Id="rId11" Type="http://schemas.openxmlformats.org/officeDocument/2006/relationships/hyperlink" Target="https://www.who.int/teams/integrated-health-services/infection-prevention-control/hand-hygiene" TargetMode="External"/><Relationship Id="rId12" Type="http://schemas.openxmlformats.org/officeDocument/2006/relationships/hyperlink" Target="https://www.cdc.gov/infection-control/hcp/core-practices/references.html" TargetMode="External"/><Relationship Id="rId13" Type="http://schemas.openxmlformats.org/officeDocument/2006/relationships/hyperlink" Target="https://www.cdc.gov/healthcare-associated-infections/hcp/cleaning-global/procedures.html" TargetMode="External"/><Relationship Id="rId14" Type="http://schemas.openxmlformats.org/officeDocument/2006/relationships/hyperlink" Target="https://portal.nabh.co/images/Standards/NABH%20Hospital%20Accreditation%20Standard%206th%20Edition%20January%202025.pdf" TargetMode="External"/><Relationship Id="rId15" Type="http://schemas.openxmlformats.org/officeDocument/2006/relationships/hyperlink" Target="https://cdn.who.int/media/docs/default-source/searo/india/antimicrobial-resistance/ipcguidelines-web-sep2020.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