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Sterilisation and Disinfection of Instruments, Equipment and Devices</w:t>
      </w:r>
    </w:p>
    <w:p>
      <w:r>
        <w:t>«Hospital Name» — Supports IPC.7</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implements infection prevention through sterilisation and disinfection of instruments, equipment and devices: providing adequate CSSD space and zoning; following written guidance for every step of the cleaning-packing-sterilisation-storage-issue cycle; managing reprocessing of identified re-usable items; carrying out and documenting regular validation tests; and implementing the recall procedure when a sterilisation breakdown is identified. IPC in clinical areas, support services, HAI-prevention bundles, and IPC surveillance are covered in separate hospital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implements infection prevention through sterilisation and disinfection of instruments, equipment and devices: providing adequate CSSD space and zoning; following written guidance for every step of the cleaning-packing-sterilisation-storage-issue cycle; managing reprocessing of identified re-usable items; carrying out and documenting regular validation tests; and implementing the recall procedure when a sterilisation breakdown is identified. IPC in clinical areas, support services, HAI-prevention bundles, and IPC surveillance are covered in separate hospital policies.</w:t>
      </w:r>
    </w:p>
    <w:p>
      <w:pPr>
        <w:pStyle w:val="Heading1"/>
      </w:pPr>
      <w:r>
        <w:t>2. Scope</w:t>
      </w:r>
    </w:p>
    <w:p>
      <w:r>
        <w:t>This policy applies to CSSD staff, nursing staff who handle sterile instruments and equipment in clinical areas, and all staff responsible for sterilisation, disinfection, storage and issue of instruments, equipment and devices at «Hospital Name».</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HAI: </w:t>
      </w:r>
      <w:r>
        <w:t>Healthcare-Associated Infection — an infection a patient picked up during their hospital stay, not one they came in with.</w:t>
      </w:r>
    </w:p>
    <w:p>
      <w:pPr>
        <w:pStyle w:val="ListParagraph"/>
      </w:pPr>
      <w:r>
        <w:rPr>
          <w:b/>
        </w:rPr>
        <w:t xml:space="preserve">CSSD: </w:t>
      </w:r>
      <w:r>
        <w:t>Central Sterile Services Department — cleans, packs and sterilises reusable instruments.</w:t>
      </w:r>
    </w:p>
    <w:p>
      <w:pPr>
        <w:pStyle w:val="ListParagraph"/>
      </w:pPr>
      <w:r>
        <w:rPr>
          <w:b/>
        </w:rPr>
        <w:t xml:space="preserve">Biological Indicator (Spore Test): </w:t>
      </w:r>
      <w:r>
        <w:t>A small vial of harmless bacterial spores placed inside a sterilisation load — if the spores are killed, the cycle really achieved sterilising conditions; if any survive, the cycle failed.</w:t>
      </w:r>
    </w:p>
    <w:p>
      <w:pPr>
        <w:pStyle w:val="Heading1"/>
      </w:pPr>
      <w:r>
        <w:t>5. Procedure</w:t>
      </w:r>
    </w:p>
    <w:p>
      <w:pPr>
        <w:pStyle w:val="Heading2"/>
      </w:pPr>
      <w:r>
        <w:t>5.1 Provide adequate space and appropriate zoning</w:t>
      </w:r>
    </w:p>
    <w:p>
      <w:r>
        <w:rPr>
          <w:b/>
          <w:i/>
        </w:rPr>
        <w:t xml:space="preserve">Why this step matters: </w:t>
      </w:r>
      <w:r>
        <w:rPr>
          <w:i/>
        </w:rPr>
        <w:t>A sterile instrument carried back through the same route as dirty, used ones can pick up contamination before it ever reaches the next patient. Zoning that keeps clean and dirty paths physically separate is what actually prevents that cross-contamination, and this record proves it's genuinely in place, not just drawn on a floor plan once. NABH checks this as part of how a functioning IPC programme actually runs day to day.</w:t>
      </w:r>
    </w:p>
    <w:p>
      <w:r>
        <w:t>1. Lay out the CSSD in one-directional flow: a dirty/decontamination zone, a clean/packaging zone, and a sterile storage zone, physically separated so soiled and clean items never cross paths.</w:t>
      </w:r>
    </w:p>
    <w:p>
      <w:r>
        <w:t>2. Keep the decontamination area at negative pressure relative to the clean/packaging area to stop contaminated air migrating toward clean supplies.</w:t>
      </w:r>
    </w:p>
    <w:p>
      <w:r>
        <w:t>3. Size each zone to the hospital's actual instrument volume so items are never held in the wrong zone for lack of space. (Records 1–2)</w:t>
      </w:r>
    </w:p>
    <w:p>
      <w:r>
        <w:rPr>
          <w:b/>
          <w:i/>
          <w:sz w:val="18"/>
        </w:rPr>
        <w:t xml:space="preserve">Technical source(s) for these steps: </w:t>
      </w:r>
    </w:p>
    <w:p>
      <w:pPr>
        <w:pStyle w:val="ListParagraph"/>
      </w:pPr>
      <w:hyperlink r:id="rId9">
        <w:r>
          <w:rPr>
            <w:color w:val="0563C1"/>
            <w:u w:val="single"/>
          </w:rPr>
          <w:t>World Health Organization. (2016). Decontamination and reprocessing of medical devices for health-care facilities.</w:t>
        </w:r>
      </w:hyperlink>
    </w:p>
    <w:p>
      <w:pPr>
        <w:pStyle w:val="Heading2"/>
      </w:pPr>
      <w:r>
        <w:t>5.2 Follow written guidance for cleaning, packing, disinfection/sterilisation, storage and issue</w:t>
      </w:r>
    </w:p>
    <w:p>
      <w:r>
        <w:rPr>
          <w:b/>
          <w:i/>
        </w:rPr>
        <w:t xml:space="preserve">Why this step matters: </w:t>
      </w:r>
      <w:r>
        <w:rPr>
          <w:i/>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p>
      <w:r>
        <w:t>1. At the point of use, wipe gross soil and keep instruments moist with an enzymatic foam/spray immediately after use, to stop bioburden drying onto the instrument.</w:t>
      </w:r>
    </w:p>
    <w:p>
      <w:r>
        <w:t>2. Transport soiled instruments to CSSD in closed, leak-proof, labelled containers, kept separate from clean traffic.</w:t>
      </w:r>
    </w:p>
    <w:p>
      <w:r>
        <w:t>3. Decontaminate by manual cleaning (disassembled, hinges open, brushed under water) followed by ultrasonic cleaning or a washer-disinfector cycle with enzymatic detergent.</w:t>
      </w:r>
    </w:p>
    <w:p>
      <w:r>
        <w:t>4. Inspect every instrument under magnification/good light for residual soil, corrosion and function, and assemble sets against the standardised tray list.</w:t>
      </w:r>
    </w:p>
    <w:p>
      <w:r>
        <w:t>5. Package with a chemical indicator strip inside every pack and a Class-1 external indicator on the pack itself. (Records 3–8)</w:t>
      </w:r>
    </w:p>
    <w:p>
      <w:r>
        <w:rPr>
          <w:b/>
          <w:i/>
          <w:sz w:val="18"/>
        </w:rPr>
        <w:t xml:space="preserve">Technical source(s) for these steps: </w:t>
      </w:r>
    </w:p>
    <w:p>
      <w:pPr>
        <w:pStyle w:val="ListParagraph"/>
      </w:pPr>
      <w:hyperlink r:id="rId9">
        <w:r>
          <w:rPr>
            <w:color w:val="0563C1"/>
            <w:u w:val="single"/>
          </w:rPr>
          <w:t>World Health Organization. (2016). Decontamination and reprocessing of medical devices for health-care facilities.</w:t>
        </w:r>
      </w:hyperlink>
    </w:p>
    <w:p>
      <w:pPr>
        <w:pStyle w:val="Heading2"/>
      </w:pPr>
      <w:r>
        <w:t>5.3 Manage reprocessing of instruments, equipment and devices</w:t>
      </w:r>
    </w:p>
    <w:p>
      <w:r>
        <w:rPr>
          <w:b/>
          <w:i/>
        </w:rPr>
        <w:t xml:space="preserve">Why this step matters: </w:t>
      </w:r>
      <w:r>
        <w:rPr>
          <w:i/>
        </w:rPr>
        <w:t>Reusing a single-use-labelled item beyond a safe limit — or without telling the patient — is both a clinical risk and an ethical one. This record proves each re-usable item's re-use count was actually tracked and respected, and that the patient was genuinely informed, not just theoretically entitled to be. This is a Commitment-level requirement — NABH expects the hospital to be actively working toward and evidencing it, not just planning to.</w:t>
      </w:r>
    </w:p>
    <w:p>
      <w:r>
        <w:t>1. Sterilise by steam autoclave: gravity-displacement cycle at 121°C (250°F), 15 psi, for 15–30 minutes, or a prevacuum cycle at 132–135°C for 3–4 minutes, matched to the load and the wrap manufacturer's instructions.</w:t>
      </w:r>
    </w:p>
    <w:p>
      <w:r>
        <w:t>2. For heat-sensitive items, use a validated low-temperature method — ethylene oxide, hydrogen-peroxide plasma, or low-temperature steam-formaldehyde — following the device manufacturer's cycle exactly.</w:t>
      </w:r>
    </w:p>
    <w:p>
      <w:r>
        <w:t>3. Store sterile packs in a clean, dry, temperature/humidity-controlled area away from direct sunlight and floor contact; assign an event-related shelf life and check pack integrity before every issue.</w:t>
      </w:r>
    </w:p>
    <w:p>
      <w:r>
        <w:t>4. Issue sets against a tracking log (linked to patient/OT where possible) so a sterility failure can be traced back to every affected case. (Records 9–11)</w:t>
      </w:r>
    </w:p>
    <w:p>
      <w:r>
        <w:rPr>
          <w:b/>
          <w:i/>
          <w:sz w:val="18"/>
        </w:rPr>
        <w:t xml:space="preserve">Technical source(s) for these steps: </w:t>
      </w:r>
    </w:p>
    <w:p>
      <w:pPr>
        <w:pStyle w:val="ListParagraph"/>
      </w:pPr>
      <w:hyperlink r:id="rId10">
        <w:r>
          <w:rPr>
            <w:color w:val="0563C1"/>
            <w:u w:val="single"/>
          </w:rPr>
          <w:t>Centers for Disease Control and Prevention. (2008). Guideline for disinfection and sterilization in healthcare facilities.</w:t>
        </w:r>
      </w:hyperlink>
    </w:p>
    <w:p>
      <w:pPr>
        <w:pStyle w:val="Heading2"/>
      </w:pPr>
      <w:r>
        <w:t>5.4 Carry out and document validation tests for sterilisation</w:t>
      </w:r>
    </w:p>
    <w:p>
      <w:r>
        <w:rPr>
          <w:b/>
          <w:i/>
        </w:rPr>
        <w:t xml:space="preserve">Why this step matters: </w:t>
      </w:r>
      <w:r>
        <w:rPr>
          <w:i/>
        </w:rPr>
        <w:t>A sterilizer can complete its full cycle and still fail to actually sterilise its contents, because of a blocked drain, a wrong load, or a fault that looks completely normal from the outside. Physical, chemical and biological indicator tests are the only way to know a specific load was genuinely sterile, and this record is that proof, load by load — not an assumption that the machine did its job. This is a Commitment-level requirement — NABH expects the hospital to be actively working toward and evidencing it, not just planning to.</w:t>
      </w:r>
    </w:p>
    <w:p>
      <w:r>
        <w:t>1. Place a biological indicator (spore test) in every load that contains an implantable device, and at minimum once daily in routine loads.</w:t>
      </w:r>
    </w:p>
    <w:p>
      <w:r>
        <w:t>2. Quarantine implant loads until the biological-indicator result is confirmed negative (a rapid-readout result is typically available the same day).</w:t>
      </w:r>
    </w:p>
    <w:p>
      <w:r>
        <w:t>3. Log every autoclave cycle's parameters (temperature, pressure, time) and indicator result, cycle by cycle, not as a periodic summary.</w:t>
      </w:r>
    </w:p>
    <w:p>
      <w:r>
        <w:t>4. Investigate and document any failed indicator immediately, and hold the affected load(s) out of use until the cause is found and corrected. (Records 12–15)</w:t>
      </w:r>
    </w:p>
    <w:p>
      <w:r>
        <w:rPr>
          <w:b/>
          <w:i/>
          <w:sz w:val="18"/>
        </w:rPr>
        <w:t xml:space="preserve">Technical source(s) for these steps: </w:t>
      </w:r>
    </w:p>
    <w:p>
      <w:pPr>
        <w:pStyle w:val="ListParagraph"/>
      </w:pPr>
      <w:hyperlink r:id="rId10">
        <w:r>
          <w:rPr>
            <w:color w:val="0563C1"/>
            <w:u w:val="single"/>
          </w:rPr>
          <w:t>Centers for Disease Control and Prevention. (2008). Guideline for disinfection and sterilization in healthcare facilities.</w:t>
        </w:r>
      </w:hyperlink>
    </w:p>
    <w:p>
      <w:pPr>
        <w:pStyle w:val="Heading2"/>
      </w:pPr>
      <w:r>
        <w:t>5.5 Implement the recall procedure on sterilisation breakdown</w:t>
      </w:r>
    </w:p>
    <w:p>
      <w:r>
        <w:rPr>
          <w:b/>
          <w:i/>
        </w:rPr>
        <w:t xml:space="preserve">Why this step matters: </w:t>
      </w:r>
      <w:r>
        <w:rPr>
          <w:i/>
        </w:rPr>
        <w:t>If a sterilisation cycle is later found to have failed, every item from that load may already be in use on a real patient. This record proves the hospital can actually trace and retrieve those specific items quickly — not just that a recall procedure exists somewhere in a binder. This is a Commitment-level requirement — NABH expects the hospital to be actively working toward and evidencing it, not just planning to.</w:t>
      </w:r>
    </w:p>
    <w:p>
      <w:r>
        <w:t>1. On any sterilisation validation failure (failed biological/chemical indicator or equipment fault), immediately quarantine every item from that load and every load since the last confirmed-good indicator.</w:t>
      </w:r>
    </w:p>
    <w:p>
      <w:r>
        <w:t>2. Use the issue tracking log (see IPC.7.5.3) to identify every patient/case the affected items were used on.</w:t>
      </w:r>
    </w:p>
    <w:p>
      <w:r>
        <w:t>3. Notify the IPC Officer and the treating clinicians the same day, and document the notification.</w:t>
      </w:r>
    </w:p>
    <w:p>
      <w:r>
        <w:t>4. Re-sterilise or reprocess the quarantined items only after the equipment fault is found and corrected, and confirm the fix with a fresh passing biological indicator before returning the equipment to service. (Records 16–18)</w:t>
      </w:r>
    </w:p>
    <w:p>
      <w:r>
        <w:rPr>
          <w:b/>
          <w:i/>
          <w:sz w:val="18"/>
        </w:rPr>
        <w:t xml:space="preserve">Technical source(s) for these steps: </w:t>
      </w:r>
    </w:p>
    <w:p>
      <w:pPr>
        <w:pStyle w:val="ListParagraph"/>
      </w:pPr>
      <w:hyperlink r:id="rId10">
        <w:r>
          <w:rPr>
            <w:color w:val="0563C1"/>
            <w:u w:val="single"/>
          </w:rPr>
          <w:t>Centers for Disease Control and Prevention. (2008). Guideline for disinfection and sterilization in healthcare facilities.</w:t>
        </w:r>
      </w:hyperlink>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issue an instrument, device or pack from sterile storage when validation of that sterilisation load has failed, or when a recall of that load or machine is in effect. Stop-work applies to issue from CSSD / sterile store. Immediate life-saving use of the only available item is documented and the CSSD In-Charge is told the same shift. The person who stops tells the CSSD In-Charge and the Infection Prevention and Control Officer the same shift. Refusing to issue a failed or recalled load is not a disciplinary matter.</w:t>
      </w:r>
    </w:p>
    <w:p>
      <w:pPr>
        <w:pStyle w:val="Heading1"/>
      </w:pPr>
      <w:r>
        <w:t>7. Records</w:t>
      </w:r>
    </w:p>
    <w:p>
      <w:r>
        <w:t>This SOP produces and maintains Records 1 through 18 (see the IPC.7 Records folder).</w:t>
      </w:r>
    </w:p>
    <w:p>
      <w:pPr>
        <w:pStyle w:val="Heading1"/>
      </w:pPr>
      <w:r>
        <w:t>8. Related Documents</w:t>
      </w:r>
    </w:p>
    <w:p>
      <w:pPr>
        <w:pStyle w:val="ListParagraph"/>
      </w:pPr>
      <w:r>
        <w:t>Policy on Sterilisation and Disinfection of Instruments, Equipment and Devices (HCO/IPC/POL/07) — this policy</w:t>
      </w:r>
    </w:p>
    <w:p>
      <w:pPr>
        <w:pStyle w:val="ListParagraph"/>
      </w:pPr>
      <w:r>
        <w:t>Required Records — IPC.7 (see IPC.7 Records folder)</w:t>
      </w:r>
    </w:p>
    <w:p>
      <w:pPr>
        <w:pStyle w:val="Heading1"/>
      </w:pPr>
      <w:r>
        <w:t>9. Where This SOP's Requirements Come From (Verified Sources)</w:t>
      </w:r>
    </w:p>
    <w:p>
      <w:pPr>
        <w:pStyle w:val="ListParagraph"/>
      </w:pPr>
      <w:hyperlink r:id="rId12">
        <w:r>
          <w:rPr>
            <w:rStyle w:val="Hyperlink"/>
            <w:i/>
          </w:rPr>
          <w:t>National Accreditation Board for Hospitals and Healthcare Providers. (2025). NABH accreditation standards for hospitals (6th ed.), IPC.7. ISBN 978-81-965264-9-8. https://portal.nabh.co/images/Standards/NABH%20Hospital%20Accreditation%20Standard%206th%20Edition%20January%202025.pdf</w:t>
        </w:r>
      </w:hyperlink>
    </w:p>
    <w:p>
      <w:pPr>
        <w:pStyle w:val="ListParagraph"/>
      </w:pPr>
      <w:hyperlink r:id="rId13">
        <w:r>
          <w:rPr>
            <w:rStyle w:val="Hyperlink"/>
            <w:i/>
          </w:rPr>
          <w:t>National Centre for Disease Control &amp; Ministry of Health and Family Welfare, Government of India. (2020). National guidelines for infection prevention and control in healthcare facilities. https://cdn.who.int/media/docs/default-source/searo/india/antimicrobial-resistance/ipcguidelines-web-sep2020.pdf</w:t>
        </w:r>
      </w:hyperlink>
    </w:p>
    <w:p>
      <w:pPr>
        <w:pStyle w:val="ListParagraph"/>
      </w:pPr>
      <w:hyperlink r:id="rId11">
        <w:r>
          <w:rPr>
            <w:color w:val="0563C1"/>
            <w:u w:val="single"/>
          </w:rPr>
          <w:t>Hospital Infection Society – India (HISI) — guidance body for CSSD and hospital infection control practice</w:t>
        </w:r>
      </w:hyperlink>
    </w:p>
    <w:p>
      <w:pPr>
        <w:pStyle w:val="ListParagraph"/>
      </w:pPr>
      <w:hyperlink r:id="rId10">
        <w:r>
          <w:rPr>
            <w:color w:val="0563C1"/>
            <w:u w:val="single"/>
          </w:rPr>
          <w:t>Rutala, Weber &amp; HICPAC/CDC (2008) — Guideline for Disinfection and Sterilization in Healthcare Facilities</w:t>
        </w:r>
      </w:hyperlink>
    </w:p>
    <w:p>
      <w:pPr>
        <w:pStyle w:val="Heading1"/>
      </w:pPr>
      <w:r>
        <w:t>10.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ris.who.int/handle/10665/250232" TargetMode="External"/><Relationship Id="rId10" Type="http://schemas.openxmlformats.org/officeDocument/2006/relationships/hyperlink" Target="https://www.cdc.gov/infection-control/hcp/disinfection-sterilization/executive-summary.html" TargetMode="External"/><Relationship Id="rId11" Type="http://schemas.openxmlformats.org/officeDocument/2006/relationships/hyperlink" Target="https://hisindia.org/" TargetMode="External"/><Relationship Id="rId12" Type="http://schemas.openxmlformats.org/officeDocument/2006/relationships/hyperlink" Target="https://portal.nabh.co/images/Standards/NABH%20Hospital%20Accreditation%20Standard%206th%20Edition%20January%202025.pdf" TargetMode="External"/><Relationship Id="rId13" Type="http://schemas.openxmlformats.org/officeDocument/2006/relationships/hyperlink" Target="https://cdn.who.int/media/docs/default-source/searo/india/antimicrobial-resistance/ipcguidelines-web-sep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