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FMS.4.a — Written guidance governs the implementation of procurement, handling, storage, distribution, usage and replenishment of medical gases.</w:t>
      </w:r>
    </w:p>
    <w:p>
      <w:r>
        <w:t>FMS.4 Record 1 — Medical-gas written-guidance implementation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A log showing the written gas guidance was actually followed for a procurement, a store check, a distribution and a replenishment -- not just that the guidance document exists. The chapter's first asterisked, documented-evidence record.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oxygen cylinder delivery is accepted: the identity, pressure and batch are checked against the guidance before the delivery is signed for and moved to store.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NABH asterisks this OE -- a Commitment requirement where the organisation must show the written guidance was implemented across all six acts (procurement, handling, storage, distribution, usage, replenishment), not filed and ignored.</w:t>
            </w:r>
          </w:p>
        </w:tc>
      </w:tr>
    </w:tbl>
    <w:p/>
    <w:p>
      <w:r>
        <w:t>How to fill this in — column by column</w:t>
      </w:r>
    </w:p>
    <w:p>
      <w:r>
        <w:t>Date: Date of the procurement/store/distribution/replenishment act.</w:t>
      </w:r>
    </w:p>
    <w:p>
      <w:r>
        <w:t>Gas: Which gas this hospital uses (oxygen, nitrous oxide, medical air, etc.).</w:t>
      </w:r>
    </w:p>
    <w:p>
      <w:r>
        <w:t>Act Covered: Procurement / handling / storage / distribution / usage / replenishment.</w:t>
      </w:r>
    </w:p>
    <w:p>
      <w:r>
        <w:t>Guidance Followed? (Y/N): Whether the written guidance was followed for this act.</w:t>
      </w:r>
    </w:p>
    <w:p>
      <w:r>
        <w:t>Checks Performed: Identity, pressure, pin-index/DISS, expiry/batch as applicable.</w:t>
      </w:r>
    </w:p>
    <w:p>
      <w:r>
        <w:t>Confirmed By: Named engineering/gas-plant lead.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British Compressed Gases Association. </w:t>
      </w:r>
      <w:hyperlink r:id="rId9">
        <w:r>
          <w:rPr>
            <w:color w:val="0563C1"/>
            <w:u w:val="single"/>
          </w:rPr>
          <w:t>Medical Gases guidance notes</w:t>
        </w:r>
      </w:hyperlink>
      <w:r>
        <w:t>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Gas</w:t>
            </w:r>
          </w:p>
        </w:tc>
        <w:tc>
          <w:tcPr>
            <w:tcW w:type="dxa" w:w="1440"/>
          </w:tcPr>
          <w:p>
            <w:r>
              <w:t>Act Covered</w:t>
            </w:r>
          </w:p>
        </w:tc>
        <w:tc>
          <w:tcPr>
            <w:tcW w:type="dxa" w:w="1440"/>
          </w:tcPr>
          <w:p>
            <w:r>
              <w:t>Guidance Followed? (Y/N)</w:t>
            </w:r>
          </w:p>
        </w:tc>
        <w:tc>
          <w:tcPr>
            <w:tcW w:type="dxa" w:w="1440"/>
          </w:tcPr>
          <w:p>
            <w:r>
              <w:t>Checks Performed</w:t>
            </w:r>
          </w:p>
        </w:tc>
        <w:tc>
          <w:tcPr>
            <w:tcW w:type="dxa" w:w="1440"/>
          </w:tcPr>
          <w:p>
            <w:r>
              <w:t>Confirmed By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04/02/2026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Oxygen</w:t>
            </w:r>
          </w:p>
        </w:tc>
        <w:tc>
          <w:tcPr>
            <w:tcW w:type="dxa" w:w="1440"/>
            <w:shd w:val="clear" w:color="auto" w:fill="FFF2CC"/>
          </w:tcPr>
          <w:p>
            <w:r>
              <w:t>Procurement (delivery acceptance)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Identity, pressure, batch checked against supplier note</w:t>
            </w:r>
          </w:p>
        </w:tc>
        <w:tc>
          <w:tcPr>
            <w:tcW w:type="dxa" w:w="1440"/>
            <w:shd w:val="clear" w:color="auto" w:fill="FFF2CC"/>
          </w:tcPr>
          <w:p>
            <w:r>
              <w:t>Engineering Lead «Name»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cga.co.uk/pubcat/guidance-no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