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FMS.5.e — The organisation has a service continuity plan in case of fire and non-fire emergencies.</w:t>
      </w:r>
    </w:p>
    <w:p>
      <w:r>
        <w:t>FMS.5 Record 5 — Service continuity plan activation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record of how each essential AAC.1 service would continue, pause or divert if lost to fire or a named non-fire event, and any actual activation of that plan -- naming the receiving arrangement, not a vague reference to 'a nearby hospital'.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planned fire-door maintenance outage requires the OT list to pause for two hours; the continuity plan's named decision-maker authorises the pause and the resumption is logged.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a service continuity plan for fire and non-fire emergencies -- an Achievement requirement checked against a plan that names who decides, what continues, and where patients go if diversion is needed.</w:t>
            </w:r>
          </w:p>
        </w:tc>
      </w:tr>
    </w:tbl>
    <w:p/>
    <w:p>
      <w:r>
        <w:t>How to fill this in — column by column</w:t>
      </w:r>
    </w:p>
    <w:p>
      <w:r>
        <w:t>Service (per AAC.1): Named essential service covered by this continuity entry.</w:t>
      </w:r>
    </w:p>
    <w:p>
      <w:r>
        <w:t>Continue/Pause/Divert Plan: How the service continues, pauses, or diverts (naming the receiving arrangement if diversion).</w:t>
      </w:r>
    </w:p>
    <w:p>
      <w:r>
        <w:t>Backup Dependency: Which FMS.4.c/FMS.1.e backup this plan depends on, if any.</w:t>
      </w:r>
    </w:p>
    <w:p>
      <w:r>
        <w:t>Decision-Maker: Who declares continuity versus full evacuation.</w:t>
      </w:r>
    </w:p>
    <w:p>
      <w:r>
        <w:t>Activated? (Y/N) and Date: Whether this plan was actually activated, and when.</w:t>
      </w:r>
    </w:p>
    <w:p>
      <w:r>
        <w:t>Confirmed By: Named clinical head or fire/facilities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Disaster Management Authority. (2016). </w:t>
      </w:r>
      <w:hyperlink r:id="rId9">
        <w:r>
          <w:rPr>
            <w:color w:val="0563C1"/>
            <w:u w:val="single"/>
          </w:rPr>
          <w:t>National Disaster Management Guidelines: Hospital Safety</w:t>
        </w:r>
      </w:hyperlink>
      <w:r>
        <w:t>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Service (per AAC.1)</w:t>
            </w:r>
          </w:p>
        </w:tc>
        <w:tc>
          <w:tcPr>
            <w:tcW w:type="dxa" w:w="1440"/>
          </w:tcPr>
          <w:p>
            <w:r>
              <w:t>Continue/Pause/Divert Plan</w:t>
            </w:r>
          </w:p>
        </w:tc>
        <w:tc>
          <w:tcPr>
            <w:tcW w:type="dxa" w:w="1440"/>
          </w:tcPr>
          <w:p>
            <w:r>
              <w:t>Backup Dependency</w:t>
            </w:r>
          </w:p>
        </w:tc>
        <w:tc>
          <w:tcPr>
            <w:tcW w:type="dxa" w:w="1440"/>
          </w:tcPr>
          <w:p>
            <w:r>
              <w:t>Decision-Maker</w:t>
            </w:r>
          </w:p>
        </w:tc>
        <w:tc>
          <w:tcPr>
            <w:tcW w:type="dxa" w:w="1440"/>
          </w:tcPr>
          <w:p>
            <w:r>
              <w:t>Activated? (Y/N) and Date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General Surgery (OT list)</w:t>
            </w:r>
          </w:p>
        </w:tc>
        <w:tc>
          <w:tcPr>
            <w:tcW w:type="dxa" w:w="1440"/>
            <w:shd w:val="clear" w:color="auto" w:fill="FFF2CC"/>
          </w:tcPr>
          <w:p>
            <w:r>
              <w:t>Pause for planned fire-door maintenance outage</w:t>
            </w:r>
          </w:p>
        </w:tc>
        <w:tc>
          <w:tcPr>
            <w:tcW w:type="dxa" w:w="1440"/>
            <w:shd w:val="clear" w:color="auto" w:fill="FFF2CC"/>
          </w:tcPr>
          <w:p>
            <w:r>
              <w:t>None (planned, non-emergency pause)</w:t>
            </w:r>
          </w:p>
        </w:tc>
        <w:tc>
          <w:tcPr>
            <w:tcW w:type="dxa" w:w="1440"/>
            <w:shd w:val="clear" w:color="auto" w:fill="FFF2CC"/>
          </w:tcPr>
          <w:p>
            <w:r>
              <w:t>OT In-Charge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20/03/2026, resumed same day</w:t>
            </w:r>
          </w:p>
        </w:tc>
        <w:tc>
          <w:tcPr>
            <w:tcW w:type="dxa" w:w="1440"/>
            <w:shd w:val="clear" w:color="auto" w:fill="FFF2CC"/>
          </w:tcPr>
          <w:p>
            <w:r>
              <w:t>OT In-Charge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hsrcindia.org/sites/default/files/2021-05/Guidelines-Hospital-Safety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