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Safety of Patients, Families, Staff and Visitors</w:t>
      </w:r>
    </w:p>
    <w:p>
      <w:r>
        <w:t>«Hospital Name» — SOP-FMS.2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SOP-FMS.2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tells facilities, security, engineering and quality staff, in one place, how this hospital keeps the building itself safe: the grab rails and call bells that actually work, access for the differently-abled, which areas need extra security, the monthly walk that finds what a register alone cannot, the electrical audit that is not just a DG test, how condemned items actually leave the clinical floor, and how hazardous materials are tracked and used safely. If you walk a round, hold a key, sign off an audit, or tag a condemned bed, this SOP is for you.</w:t>
            </w:r>
          </w:p>
        </w:tc>
      </w:tr>
    </w:tbl>
    <w:p/>
    <w:tbl>
      <w:tblPr>
        <w:tblStyle w:val="TableGrid"/>
        <w:tblW w:type="auto" w:w="0"/>
        <w:tblLook w:firstColumn="1" w:firstRow="1" w:lastColumn="0" w:lastRow="0" w:noHBand="0" w:noVBand="1" w:val="04A0"/>
      </w:tblPr>
      <w:tblGrid>
        <w:gridCol w:w="8640"/>
      </w:tblGrid>
      <w:tr>
        <w:tc>
          <w:tcPr>
            <w:tcW w:type="dxa" w:w="8640"/>
          </w:tcPr>
          <w:p>
            <w:r>
              <w:t>A monthly facility round finds a grab rail pulled out of a wet-wall fixing in a ground-floor toilet. This SOP is what tells the rounding staff member which record to log it in, who closes the finding, and by when -- rather than the defect sitting unaddressed until the next round finds it again.</w:t>
            </w:r>
          </w:p>
        </w:tc>
      </w:tr>
    </w:tbl>
    <w:p/>
    <w:tbl>
      <w:tblPr>
        <w:tblStyle w:val="TableGrid"/>
        <w:tblW w:type="auto" w:w="0"/>
        <w:tblLook w:firstColumn="1" w:firstRow="1" w:lastColumn="0" w:lastRow="0" w:noHBand="0" w:noVBand="1" w:val="04A0"/>
      </w:tblPr>
      <w:tblGrid>
        <w:gridCol w:w="8640"/>
      </w:tblGrid>
      <w:tr>
        <w:tc>
          <w:tcPr>
            <w:tcW w:type="dxa" w:w="8640"/>
          </w:tcPr>
          <w:p>
            <w:r>
              <w:t>We do this because a hospital's job is to keep the people inside it safe, not just treat the illness they came in for. The devices, the monthly round, the electrical audits, how we remove broken items, and how we handle hazardous materials are the ways the building itself stays on the patient's side, not a risk to them.</w:t>
            </w:r>
          </w:p>
        </w:tc>
      </w:tr>
    </w:tbl>
    <w:p/>
    <w:p>
      <w:r>
        <w:t>To define how «Hospital Name» keeps patients, families, staff and visitors safe from the building itself: installed safety devices, access for the differently-abled, extra-security areas, the monthly facility round, electrical safety audits, disposal of material not in use, and the safe identification and use of hazardous materials.</w:t>
      </w:r>
    </w:p>
    <w:p>
      <w:pPr>
        <w:pStyle w:val="Heading1"/>
      </w:pPr>
      <w:r>
        <w:t>2. Scope</w:t>
      </w:r>
    </w:p>
    <w:p>
      <w:r>
        <w:t>so whoever spots a problem -- staff, contractor or visitor -- knows exactly where to take it, and nothing falls through the gap between two SOPs while someone is waiting for it to be fixed.</w:t>
      </w:r>
    </w:p>
    <w:p>
      <w:r>
        <w:t>Applies to every area of «Hospital Name» that patients, families, staff or visitors use. Does not cover fire detection, alarms, extinguishers or suppression, medical-device calibration, biomedical-waste colour coding and transport, blood/body-fluid spill response, cytotoxic spill response, or laboratory bench chemical hygiene -- those remain their own SOPs. See Related SOPs.</w:t>
      </w:r>
    </w:p>
    <w:p>
      <w:pPr>
        <w:pStyle w:val="Heading1"/>
      </w:pPr>
      <w:r>
        <w:t>3. Responsibility</w:t>
      </w:r>
    </w:p>
    <w:p>
      <w:r>
        <w:t>a hazard with one person's name on it gets fixed. A hazard that's "everyone's job" sits there until someone gets hurt.</w:t>
      </w:r>
    </w:p>
    <w:p>
      <w:r>
        <w:rPr>
          <w:b/>
        </w:rPr>
        <w:t xml:space="preserve">Head of the Institution: </w:t>
      </w:r>
      <w:r>
        <w:t>Is accountable that the facility actually operates safely, not just on paper.</w:t>
      </w:r>
    </w:p>
    <w:p>
      <w:r>
        <w:rPr>
          <w:b/>
        </w:rPr>
        <w:t xml:space="preserve">Named Facilities/Engineering Lead: </w:t>
      </w:r>
      <w:r>
        <w:t>Carries out device inspections, the monthly round, electrical audits, the unused-material log and the hazardous-material inventory.</w:t>
      </w:r>
    </w:p>
    <w:p>
      <w:r>
        <w:rPr>
          <w:b/>
        </w:rPr>
        <w:t xml:space="preserve">Security/Administration: </w:t>
      </w:r>
      <w:r>
        <w:t>Looks after the extra-security and access description, where this is not the facilities lead.</w:t>
      </w:r>
    </w:p>
    <w:p>
      <w:r>
        <w:rPr>
          <w:b/>
        </w:rPr>
        <w:t xml:space="preserve">Quality/Accreditation Coordinator: </w:t>
      </w:r>
      <w:r>
        <w:t>Spot-checks a sample of the records this SOP produces, at «Hospital to define» frequency, and owns the Appendix during assessment.</w:t>
      </w:r>
    </w:p>
    <w:p>
      <w:r>
        <w:rPr>
          <w:b/>
        </w:rPr>
        <w:t xml:space="preserve">All Staff: </w:t>
      </w:r>
      <w:r>
        <w:t>Report a blocked exit, an unlabelled chemical, a condemned bed left in a patient bay, or a missed monthly round, as defects -- not someone else's problem.</w:t>
      </w:r>
    </w:p>
    <w:p>
      <w:pPr>
        <w:pStyle w:val="Heading1"/>
      </w:pPr>
      <w:r>
        <w:t>4. What to do</w:t>
      </w:r>
    </w:p>
    <w:p>
      <w:pPr>
        <w:pStyle w:val="Heading2"/>
      </w:pPr>
      <w:r>
        <w:t>Keeping patient-safety devices working</w:t>
      </w:r>
    </w:p>
    <w:p>
      <w:r>
        <w:t>A patient or family member trusts that a grab rail or call bell will work the moment they actually need it -- not that one was purchased once. We check the devices, not the paperwork, because that's the only check that protects anyone.</w:t>
      </w:r>
    </w:p>
    <w:p>
      <w:r>
        <w:t>All of it gets checked that it actually works, not just that it's installed:</w:t>
      </w:r>
    </w:p>
    <w:p>
      <w:r>
        <w:t>1. Grab rails in toilets and wet areas.</w:t>
      </w:r>
    </w:p>
    <w:p>
      <w:r>
        <w:t>2. Anti-skid flooring.</w:t>
      </w:r>
    </w:p>
    <w:p>
      <w:r>
        <w:t>3. Window restrictors on upper floors.</w:t>
      </w:r>
    </w:p>
    <w:p>
      <w:r>
        <w:t>4. Bumper guards on trolley routes.</w:t>
      </w:r>
    </w:p>
    <w:p>
      <w:r>
        <w:t>5. Nurse-call buttons.</w:t>
      </w:r>
    </w:p>
    <w:p>
      <w:r>
        <w:t>6. Bed rails.</w:t>
      </w:r>
    </w:p>
    <w:p>
      <w:r>
        <w:t>«Hospital to define: which devices are checked, how often, and by whom.» A real check means testing the device, not reading the purchase record.</w:t>
      </w:r>
    </w:p>
    <w:p>
      <w:r>
        <w:t>Fire equipment is covered separately in the monthly walk-through below. Whether to actually use a bed rail or call bell for a specific patient is a clinical decision made by the care team, not part of this check.</w:t>
      </w:r>
    </w:p>
    <w:p>
      <w:pPr>
        <w:pStyle w:val="Heading2"/>
      </w:pPr>
      <w:r>
        <w:t>Access for people with disabilities</w:t>
      </w:r>
    </w:p>
    <w:p>
      <w:r>
        <w:t>Every patient and family member deserves to reach the care they need, whatever their mobility. Keeping ramps and accessible toilets clear isn't a courtesy -- it's the difference between a hospital that works for everyone and one that only looks like it does.</w:t>
      </w:r>
    </w:p>
    <w:p>
      <w:r>
        <w:t>Wheelchair users and people with mobility difficulties need to actually reach the floors and services they need.</w:t>
      </w:r>
    </w:p>
    <w:p>
      <w:r>
        <w:t>«Hospital to define: what access facilities exist (ramps, a working lift, accessible toilets) and how they're kept usable.»</w:t>
      </w:r>
    </w:p>
    <w:p>
      <w:r>
        <w:t>A ramp or accessible toilet that exists on paper but is blocked by a trolley or used for storage is a failure, not a technicality.</w:t>
      </w:r>
    </w:p>
    <w:p>
      <w:pPr>
        <w:pStyle w:val="Heading2"/>
      </w:pPr>
      <w:r>
        <w:t>Extra-security areas</w:t>
      </w:r>
    </w:p>
    <w:p>
      <w:r>
        <w:t>A locked door is sometimes the only thing between a newborn and someone who shouldn't be near her, or between a controlled drug and someone who shouldn't have it. We control these areas because the harm from getting it wrong can be serious and immediate.</w:t>
      </w:r>
    </w:p>
    <w:p>
      <w:r>
        <w:t>Some areas need to be harder to get into than a normal corridor:</w:t>
      </w:r>
    </w:p>
    <w:p>
      <w:r>
        <w:t>1. The pharmacy store.</w:t>
      </w:r>
    </w:p>
    <w:p>
      <w:r>
        <w:t>2. Medical records, if kept on-site.</w:t>
      </w:r>
    </w:p>
    <w:p>
      <w:r>
        <w:t>3. The newborn nursery and labour area.</w:t>
      </w:r>
    </w:p>
    <w:p>
      <w:r>
        <w:t>4. Server/plant rooms.</w:t>
      </w:r>
    </w:p>
    <w:p>
      <w:r>
        <w:t>5. The medical gas store.</w:t>
      </w:r>
    </w:p>
    <w:p>
      <w:r>
        <w:t>«Hospital to define: which areas count, who can access them, and how (locks, access control, CCTV).» A camera nobody watches is not security.</w:t>
      </w:r>
    </w:p>
    <w:p>
      <w:r>
        <w:t>Looking after a newborn or a vulnerable patient at the bedside is a separate clinical responsibility -- this is only about the physical security of the area. If a security breach is also a safety incident, report it through the incident system too.</w:t>
      </w:r>
    </w:p>
    <w:p>
      <w:pPr>
        <w:pStyle w:val="Heading2"/>
      </w:pPr>
      <w:r>
        <w:t>Monthly safety walk-through</w:t>
      </w:r>
    </w:p>
    <w:p>
      <w:r>
        <w:t>A hazard that sits unnoticed for weeks is a hazard waiting for someone to get hurt by it. The monthly round exists to find it before a patient, staff member or visitor does -- every month, without exception, because risk doesn't wait for a convenient quarter.</w:t>
      </w:r>
    </w:p>
    <w:p>
      <w:r>
        <w:t>Walk every ward and support area at least once a month -- this interval is fixed, not something the hospital can change.</w:t>
      </w:r>
    </w:p>
    <w:p>
      <w:r>
        <w:t>Look for six things (a missing fire extinguisher is reported through the Fire Safety SOP instead):</w:t>
      </w:r>
    </w:p>
    <w:p>
      <w:r>
        <w:t>1. Blocked exits.</w:t>
      </w:r>
    </w:p>
    <w:p>
      <w:r>
        <w:t>2. Broken grab rails.</w:t>
      </w:r>
    </w:p>
    <w:p>
      <w:r>
        <w:t>3. Wet floors with no warning sign.</w:t>
      </w:r>
    </w:p>
    <w:p>
      <w:r>
        <w:t>4. Unlabelled chemicals.</w:t>
      </w:r>
    </w:p>
    <w:p>
      <w:r>
        <w:t>5. Old items left lying around.</w:t>
      </w:r>
    </w:p>
    <w:p>
      <w:r>
        <w:t>6. Open electrical panels.</w:t>
      </w:r>
    </w:p>
    <w:p>
      <w:r>
        <w:t>«Hospital to define: who does the walk-through, which route they take, and how findings get fixed.» If a month is missed, that's a defect to report -- not something to quietly catch up on later.</w:t>
      </w:r>
    </w:p>
    <w:p>
      <w:pPr>
        <w:pStyle w:val="Heading2"/>
      </w:pPr>
      <w:r>
        <w:t>Electrical safety audit</w:t>
      </w:r>
    </w:p>
    <w:p>
      <w:r>
        <w:t>Faulty wiring next to people who can't evacuate quickly on their own isn't an inconvenience -- it's a fire risk. The audit repeats because a building's wiring doesn't stay safe forever just because it was safe on the day it was built.</w:t>
      </w:r>
    </w:p>
    <w:p>
      <w:r>
        <w:t>Check seven things:</w:t>
      </w:r>
    </w:p>
    <w:p>
      <w:r>
        <w:t>1. Earthing.</w:t>
      </w:r>
    </w:p>
    <w:p>
      <w:r>
        <w:t>2. Earth-leakage protection in wet areas and patient-care areas.</w:t>
      </w:r>
    </w:p>
    <w:p>
      <w:r>
        <w:t>3. Overloaded circuits.</w:t>
      </w:r>
    </w:p>
    <w:p>
      <w:r>
        <w:t>4. Damaged cords.</w:t>
      </w:r>
    </w:p>
    <w:p>
      <w:r>
        <w:t>5. Sockets in wet areas.</w:t>
      </w:r>
    </w:p>
    <w:p>
      <w:r>
        <w:t>6. Panel labelling and locks.</w:t>
      </w:r>
    </w:p>
    <w:p>
      <w:r>
        <w:t>7. Backup power in the operating theatre, if the hospital runs one.</w:t>
      </w:r>
    </w:p>
    <w:p>
      <w:r>
        <w:t>«Hospital to define: who audits (in-house or contractor), how often, and the rule for isolating a failed circuit until it's fixed.» A faulty medical device is a different process -- this is only about the building wiring.</w:t>
      </w:r>
    </w:p>
    <w:p>
      <w:pPr>
        <w:pStyle w:val="Heading2"/>
      </w:pPr>
      <w:r>
        <w:t>Tagging and removing items no longer in use</w:t>
      </w:r>
    </w:p>
    <w:p>
      <w:r>
        <w:t>An untagged, broken item left in a corner is an injury waiting to happen -- to a patient who leans on it, or a staff member who trusts it's still in service. Tagging it the same day it's taken out of use removes that risk immediately, not eventually.</w:t>
      </w:r>
    </w:p>
    <w:p>
      <w:r>
        <w:t>Any item no longer in use -- a broken bed, an old monitor, leftover construction material, expired non-medical stock -- gets a tag the same day it's taken out of use. The tag shows what it is, where it is, the date, and who condemned it.</w:t>
      </w:r>
    </w:p>
    <w:p>
      <w:r>
        <w:t>Do not reuse a tagged item on a patient. Store it somewhere it can't be picked up by mistake, until it's collected or sold.</w:t>
      </w:r>
    </w:p>
    <w:p>
      <w:r>
        <w:t>This is for equipment and furniture -- not clinical waste like used dressings or needles, which has its own separate process.</w:t>
      </w:r>
    </w:p>
    <w:p>
      <w:r>
        <w:t>«Hospital to define: who is allowed to condemn an item, and how often tagged items are checked and cleared.»</w:t>
      </w:r>
    </w:p>
    <w:p>
      <w:pPr>
        <w:pStyle w:val="Heading2"/>
      </w:pPr>
      <w:r>
        <w:t>Hazardous chemicals -- list, label, protect</w:t>
      </w:r>
    </w:p>
    <w:p>
      <w:r>
        <w:t>An unlabelled chemical is a guess waiting to go wrong -- the wrong product on the wrong surface, or on someone's bare skin. The list and the labels exist so nobody handling them ever has to guess.</w:t>
      </w:r>
    </w:p>
    <w:p>
      <w:r>
        <w:t>Keep one list of every hazardous chemical in the building. This covers five kinds:</w:t>
      </w:r>
    </w:p>
    <w:p>
      <w:r>
        <w:t>1. Cleaning chemicals.</w:t>
      </w:r>
    </w:p>
    <w:p>
      <w:r>
        <w:t>2. Water-treatment chemicals.</w:t>
      </w:r>
    </w:p>
    <w:p>
      <w:r>
        <w:t>3. Diesel and other fuel.</w:t>
      </w:r>
    </w:p>
    <w:p>
      <w:r>
        <w:t>4. Mercury, if any old thermometers or BP machines are still in use.</w:t>
      </w:r>
    </w:p>
    <w:p>
      <w:r>
        <w:t>5. Engineering solvents.</w:t>
      </w:r>
    </w:p>
    <w:p>
      <w:r>
        <w:t>Every container must be labelled. Store and separate chemicals by type. Staff who handle them get the right protective gear.</w:t>
      </w:r>
    </w:p>
    <w:p>
      <w:r>
        <w:t>«Hospital to define: who checks this list, how often, and what to do if a spill happens.»</w:t>
      </w:r>
    </w:p>
    <w:p>
      <w:r>
        <w:t>If a chemical spills, don't treat it like a blood spill or a lab chemical spill -- those have their own separate SOPs.</w:t>
      </w:r>
    </w:p>
    <w:p>
      <w:pPr>
        <w:pStyle w:val="Heading1"/>
      </w:pPr>
      <w:r>
        <w:t>5. Records</w:t>
      </w:r>
    </w:p>
    <w:p>
      <w:r>
        <w:t>This SOP produces and maintains Records 1-7 (see the FMS.2 Records folder).</w:t>
      </w:r>
    </w:p>
    <w:p>
      <w:pPr>
        <w:pStyle w:val="Heading1"/>
      </w:pPr>
      <w:r>
        <w:t>6. Related SOPs</w:t>
      </w:r>
    </w:p>
    <w:p>
      <w:pPr>
        <w:pStyle w:val="ListParagraph"/>
      </w:pPr>
      <w:r>
        <w:t>Fire Safety SOP (FMS.5)</w:t>
      </w:r>
    </w:p>
    <w:p>
      <w:pPr>
        <w:pStyle w:val="ListParagraph"/>
      </w:pPr>
      <w:r>
        <w:t>Medical Equipment Maintenance SOP (FMS.3)</w:t>
      </w:r>
    </w:p>
    <w:p>
      <w:pPr>
        <w:pStyle w:val="ListParagraph"/>
      </w:pPr>
      <w:r>
        <w:t>Biomedical Waste SOP (HIC.3)</w:t>
      </w:r>
    </w:p>
    <w:p>
      <w:pPr>
        <w:pStyle w:val="ListParagraph"/>
      </w:pPr>
      <w:r>
        <w:t>Blood/Body-Fluid Spill SOP (HIC.2)</w:t>
      </w:r>
    </w:p>
    <w:p>
      <w:pPr>
        <w:pStyle w:val="ListParagraph"/>
      </w:pPr>
      <w:r>
        <w:t>Chemotherapy Spill SOP (MOM.8)</w:t>
      </w:r>
    </w:p>
    <w:p>
      <w:pPr>
        <w:pStyle w:val="ListParagraph"/>
      </w:pPr>
      <w:r>
        <w:t>Laboratory Safety SOP (AAC.6)</w:t>
      </w:r>
    </w:p>
    <w:p>
      <w:pPr>
        <w:pStyle w:val="Heading1"/>
      </w:pPr>
      <w:r>
        <w:t>7. Review</w:t>
      </w:r>
    </w:p>
    <w:p>
      <w:r>
        <w:t>This SOP is reviewed at «Hospital to define the review interval», and sooner when a monthly round was missed, or when a related SOP listed above is updated.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Keeping patient-safety devices working — FMS.2.a</w:t>
      </w:r>
    </w:p>
    <w:p>
      <w:r>
        <w:rPr>
          <w:i/>
        </w:rPr>
        <w:t>Boundary with other standards:</w:t>
      </w:r>
    </w:p>
    <w:p>
      <w:pPr>
        <w:pStyle w:val="ListParagraph"/>
      </w:pPr>
      <w:r>
        <w:t>• Fire detection, alarms, extinguishers and suppression are FMS.5 provisions, inspected under FMS.5.d; listed on the monthly round, not counted twice as this OE's own install-and-inspect programme.</w:t>
      </w:r>
    </w:p>
    <w:p>
      <w:pPr>
        <w:pStyle w:val="ListParagraph"/>
      </w:pPr>
      <w:r>
        <w:t>• COP.12 owns the clinical decision to use a bed rail or call bell at the bedside; this step owns that the hardware exists and works.</w:t>
      </w:r>
    </w:p>
    <w:p>
      <w:r>
        <w:rPr>
          <w:i/>
        </w:rPr>
        <w:t>Verified source(s):</w:t>
      </w:r>
    </w:p>
    <w:p>
      <w:pPr>
        <w:pStyle w:val="ListParagraph"/>
      </w:pPr>
      <w:r>
        <w:t xml:space="preserve">• </w:t>
      </w:r>
      <w:r>
        <w:t xml:space="preserve">Bureau of Indian Standards. (2016). </w:t>
      </w:r>
      <w:hyperlink r:id="rId9">
        <w:r>
          <w:rPr>
            <w:color w:val="0563C1"/>
            <w:u w:val="single"/>
          </w:rPr>
          <w:t>National Building Code of India, 2016</w:t>
        </w:r>
      </w:hyperlink>
      <w:r>
        <w:t>.</w:t>
      </w:r>
    </w:p>
    <w:p>
      <w:pPr>
        <w:pStyle w:val="ListParagraph"/>
      </w:pPr>
      <w:r>
        <w:t xml:space="preserve">• </w:t>
      </w:r>
      <w:r>
        <w:t xml:space="preserve">Aggarwal, R., et al. (2010). </w:t>
      </w:r>
      <w:hyperlink r:id="rId10">
        <w:r>
          <w:rPr>
            <w:color w:val="0563C1"/>
            <w:u w:val="single"/>
          </w:rPr>
          <w:t>Training and simulation for patient safety</w:t>
        </w:r>
      </w:hyperlink>
      <w:r>
        <w:t>. Quality and Safety in Health Care, 19(Suppl 2), i34-i43.</w:t>
      </w:r>
    </w:p>
    <w:p>
      <w:pPr>
        <w:pStyle w:val="ListParagraph"/>
      </w:pPr>
      <w:r>
        <w:t xml:space="preserve">• </w:t>
      </w:r>
      <w:r>
        <w:t xml:space="preserve">American Society for Health Care Engineering. (2015). </w:t>
      </w:r>
      <w:hyperlink r:id="rId11">
        <w:r>
          <w:rPr>
            <w:color w:val="0563C1"/>
            <w:u w:val="single"/>
          </w:rPr>
          <w:t>Infrastructures to improve patient safety</w:t>
        </w:r>
      </w:hyperlink>
      <w:r>
        <w:t>. Health Facilities Management.</w:t>
      </w:r>
    </w:p>
    <w:p>
      <w:pPr>
        <w:pStyle w:val="Heading2"/>
      </w:pPr>
      <w:r>
        <w:t>Access for people with disabilities — FMS.2.b</w:t>
      </w:r>
    </w:p>
    <w:p>
      <w:r>
        <w:rPr>
          <w:i/>
        </w:rPr>
        <w:t>Boundary with other standards:</w:t>
      </w:r>
    </w:p>
    <w:p>
      <w:pPr>
        <w:pStyle w:val="ListParagraph"/>
      </w:pPr>
      <w:r>
        <w:t>• NBC 2016 access provisions apply insofar as the local authority applied them to this building's occupancy; this step does not invent a universal door-width or gradient figure for every SHCO.</w:t>
      </w:r>
    </w:p>
    <w:p>
      <w:r>
        <w:rPr>
          <w:i/>
        </w:rPr>
        <w:t>Verified source(s):</w:t>
      </w:r>
    </w:p>
    <w:p>
      <w:pPr>
        <w:pStyle w:val="ListParagraph"/>
      </w:pPr>
      <w:r>
        <w:t xml:space="preserve">• </w:t>
      </w:r>
      <w:r>
        <w:t xml:space="preserve">Gudlavalleti, V. S. (2018). </w:t>
      </w:r>
      <w:hyperlink r:id="rId12">
        <w:r>
          <w:rPr>
            <w:color w:val="0563C1"/>
            <w:u w:val="single"/>
          </w:rPr>
          <w:t>Challenges in Accessing Health Care for People with Disability in the South Asian Context: A Review</w:t>
        </w:r>
      </w:hyperlink>
      <w:r>
        <w:t>. International Journal of Environmental Research and Public Health, 15(11), 2366.</w:t>
      </w:r>
    </w:p>
    <w:p>
      <w:pPr>
        <w:pStyle w:val="ListParagraph"/>
      </w:pPr>
      <w:r>
        <w:t xml:space="preserve">• </w:t>
      </w:r>
      <w:r>
        <w:t xml:space="preserve">Bureau of Indian Standards. (2016). </w:t>
      </w:r>
      <w:hyperlink r:id="rId9">
        <w:r>
          <w:rPr>
            <w:color w:val="0563C1"/>
            <w:u w:val="single"/>
          </w:rPr>
          <w:t>National Building Code of India, 2016</w:t>
        </w:r>
      </w:hyperlink>
      <w:r>
        <w:t>.</w:t>
      </w:r>
    </w:p>
    <w:p>
      <w:pPr>
        <w:pStyle w:val="Heading2"/>
      </w:pPr>
      <w:r>
        <w:t>Extra-security areas — FMS.2.c</w:t>
      </w:r>
    </w:p>
    <w:p>
      <w:r>
        <w:rPr>
          <w:i/>
        </w:rPr>
        <w:t>Boundary with other standards:</w:t>
      </w:r>
    </w:p>
    <w:p>
      <w:pPr>
        <w:pStyle w:val="ListParagraph"/>
      </w:pPr>
      <w:r>
        <w:t>• COP.8.f owns the care process of matching and handing over a neonate and the missing-child response; COP.12.b owns bedside observation of a vulnerable adult -- this step owns the locks, access control and written description, not those care processes.</w:t>
      </w:r>
    </w:p>
    <w:p>
      <w:pPr>
        <w:pStyle w:val="ListParagraph"/>
      </w:pPr>
      <w:r>
        <w:t>• A breach that is also an incident is dual-entered in PSQ.5.</w:t>
      </w:r>
    </w:p>
    <w:p>
      <w:pPr>
        <w:pStyle w:val="Heading2"/>
      </w:pPr>
      <w:r>
        <w:t>Monthly safety walk-through — FMS.2.d (Core)</w:t>
      </w:r>
    </w:p>
    <w:p>
      <w:r>
        <w:rPr>
          <w:i/>
        </w:rPr>
        <w:t>Boundary with other standards:</w:t>
      </w:r>
    </w:p>
    <w:p>
      <w:pPr>
        <w:pStyle w:val="ListParagraph"/>
      </w:pPr>
      <w:r>
        <w:t>• The monthly interval is set by the objective element itself and is not hospital-optional.</w:t>
      </w:r>
    </w:p>
    <w:p>
      <w:pPr>
        <w:pStyle w:val="ListParagraph"/>
      </w:pPr>
      <w:r>
        <w:t>• A finding that is also an incident is dual-entered in PSQ.5; ROM.4.a may use round findings as risk inputs without this step ceasing to be the facility method of record.</w:t>
      </w:r>
    </w:p>
    <w:p>
      <w:pPr>
        <w:pStyle w:val="Heading2"/>
      </w:pPr>
      <w:r>
        <w:t>Electrical safety audit — FMS.2.e</w:t>
      </w:r>
    </w:p>
    <w:p>
      <w:r>
        <w:rPr>
          <w:i/>
        </w:rPr>
        <w:t>Boundary with other standards:</w:t>
      </w:r>
    </w:p>
    <w:p>
      <w:pPr>
        <w:pStyle w:val="ListParagraph"/>
      </w:pPr>
      <w:r>
        <w:t>• This is not the FMS.1.e loaded DG test and not FMS.3's calibration of a medical device.</w:t>
      </w:r>
    </w:p>
    <w:p>
      <w:pPr>
        <w:pStyle w:val="ListParagraph"/>
      </w:pPr>
      <w:r>
        <w:t>• A failed medical device remains FMS.3's concern; a failed building circuit is this audit's concern.</w:t>
      </w:r>
    </w:p>
    <w:p>
      <w:r>
        <w:rPr>
          <w:i/>
        </w:rPr>
        <w:t>Verified source(s):</w:t>
      </w:r>
    </w:p>
    <w:p>
      <w:pPr>
        <w:pStyle w:val="ListParagraph"/>
      </w:pPr>
      <w:r>
        <w:t xml:space="preserve">• </w:t>
      </w:r>
      <w:r>
        <w:t xml:space="preserve">Bureau of Indian Standards. (2016). </w:t>
      </w:r>
      <w:hyperlink r:id="rId9">
        <w:r>
          <w:rPr>
            <w:color w:val="0563C1"/>
            <w:u w:val="single"/>
          </w:rPr>
          <w:t>National Building Code of India, 2016</w:t>
        </w:r>
      </w:hyperlink>
      <w:r>
        <w:t xml:space="preserve"> (as the framework pointing to IS 732 wiring practice and IS 3043 earthing).</w:t>
      </w:r>
    </w:p>
    <w:p>
      <w:pPr>
        <w:pStyle w:val="Heading2"/>
      </w:pPr>
      <w:r>
        <w:t>Tagging and removing items no longer in use — FMS.2.f (Commitment, ASTERISKED)</w:t>
      </w:r>
    </w:p>
    <w:p>
      <w:r>
        <w:rPr>
          <w:i/>
        </w:rPr>
        <w:t>Boundary with other standards:</w:t>
      </w:r>
    </w:p>
    <w:p>
      <w:pPr>
        <w:pStyle w:val="ListParagraph"/>
      </w:pPr>
      <w:r>
        <w:t>• Distinct from HIC.3's biomedical-waste stream: HIC.3 owns colour, internal transport, SPCB and common-facility handover. This step is material not in use, not the four-colour clinical waste stream pointed at as the answer.</w:t>
      </w:r>
    </w:p>
    <w:p>
      <w:pPr>
        <w:pStyle w:val="ListParagraph"/>
      </w:pPr>
      <w:r>
        <w:t>• Who authorises condemnation includes FMS.3 strike-off when the item is equipment.</w:t>
      </w:r>
    </w:p>
    <w:p>
      <w:r>
        <w:rPr>
          <w:i/>
        </w:rPr>
        <w:t>Verified source(s):</w:t>
      </w:r>
    </w:p>
    <w:p>
      <w:pPr>
        <w:pStyle w:val="ListParagraph"/>
      </w:pPr>
      <w:r>
        <w:t xml:space="preserve">• </w:t>
      </w:r>
      <w:r>
        <w:t xml:space="preserve">World Health Organization. (2014). </w:t>
      </w:r>
      <w:hyperlink r:id="rId13">
        <w:r>
          <w:rPr>
            <w:color w:val="0563C1"/>
            <w:u w:val="single"/>
          </w:rPr>
          <w:t>Safe Management of Wastes from Health-Care Activities</w:t>
        </w:r>
      </w:hyperlink>
      <w:r>
        <w:t xml:space="preserve"> (2nd ed.). Waste framework only; BMW colour-coding and SPCB handover remain HIC.3.</w:t>
      </w:r>
    </w:p>
    <w:p>
      <w:pPr>
        <w:pStyle w:val="Heading2"/>
      </w:pPr>
      <w:r>
        <w:t>Hazardous chemicals -- list, label, protect — FMS.2.g (Core, ASTERISKED)</w:t>
      </w:r>
    </w:p>
    <w:p>
      <w:r>
        <w:rPr>
          <w:i/>
        </w:rPr>
        <w:t>Boundary with other standards:</w:t>
      </w:r>
    </w:p>
    <w:p>
      <w:pPr>
        <w:pStyle w:val="ListParagraph"/>
      </w:pPr>
      <w:r>
        <w:t>• Not HIC.2's blood/body-fluid spill SOP, not MOM.8's cytotoxic bench spill SOP, not HIC.3's BMW colours, and not AAC.6's laboratory chemical-hygiene programme counted as the whole hospital list -- dual entry applies when a spill meets two definitions.</w:t>
      </w:r>
    </w:p>
    <w:p>
      <w:pPr>
        <w:pStyle w:val="ListParagraph"/>
      </w:pPr>
      <w:r>
        <w:t>• NBC 2016 storage provisions apply as the local authority applied them; PESO/explosives rules for gas cylinders remain FMS.4, not this chemical list counted twice.</w:t>
      </w:r>
    </w:p>
    <w:p>
      <w:r>
        <w:rPr>
          <w:i/>
        </w:rPr>
        <w:t>Verified source(s):</w:t>
      </w:r>
    </w:p>
    <w:p>
      <w:pPr>
        <w:pStyle w:val="ListParagraph"/>
      </w:pPr>
      <w:r>
        <w:t xml:space="preserve">• </w:t>
      </w:r>
      <w:r>
        <w:t xml:space="preserve">Bureau of Indian Standards. (2016). </w:t>
      </w:r>
      <w:hyperlink r:id="rId9">
        <w:r>
          <w:rPr>
            <w:color w:val="0563C1"/>
            <w:u w:val="single"/>
          </w:rPr>
          <w:t>National Building Code of India, 2016</w:t>
        </w:r>
      </w:hyperlink>
      <w:r>
        <w:t>.</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4">
        <w:r>
          <w:rPr>
            <w:color w:val="0563C1"/>
            <w:u w:val="single"/>
          </w:rPr>
          <w:t>NABH SHCO Accreditation Programme page</w:t>
        </w:r>
      </w:hyperlink>
      <w:r>
        <w:t>. Facility Management and Safety chapter, standard FMS.2.</w:t>
      </w:r>
    </w:p>
    <w:p>
      <w:pPr>
        <w:pStyle w:val="ListParagraph"/>
      </w:pPr>
      <w:r>
        <w:t xml:space="preserve">• </w:t>
      </w:r>
      <w:r>
        <w:t xml:space="preserve">Bureau of Indian Standards. (2016). </w:t>
      </w:r>
      <w:hyperlink r:id="rId9">
        <w:r>
          <w:rPr>
            <w:color w:val="0563C1"/>
            <w:u w:val="single"/>
          </w:rPr>
          <w:t>National Building Code of India, 2016</w:t>
        </w:r>
      </w:hyperlink>
      <w:r>
        <w:t>. Building, access and electrical-installation framework as the local authority has applied it; IS 732, IS 3043 and IS 2190 are NBC-pointed practice, not extra statutes.</w:t>
      </w:r>
    </w:p>
    <w:p>
      <w:pPr>
        <w:pStyle w:val="ListParagraph"/>
      </w:pPr>
      <w:r>
        <w:t xml:space="preserve">• </w:t>
      </w:r>
      <w:r>
        <w:t xml:space="preserve">Gudlavalleti, V. S. (2018). </w:t>
      </w:r>
      <w:hyperlink r:id="rId12">
        <w:r>
          <w:rPr>
            <w:color w:val="0563C1"/>
            <w:u w:val="single"/>
          </w:rPr>
          <w:t>Challenges in Accessing Health Care for People with Disability in the South Asian Context: A Review</w:t>
        </w:r>
      </w:hyperlink>
      <w:r>
        <w:t>. International Journal of Environmental Research and Public Health, 15(11), 2366. Disability-access framework.</w:t>
      </w:r>
    </w:p>
    <w:p>
      <w:pPr>
        <w:pStyle w:val="ListParagraph"/>
      </w:pPr>
      <w:r>
        <w:t xml:space="preserve">• </w:t>
      </w:r>
      <w:r>
        <w:t xml:space="preserve">World Health Organization. (2014). </w:t>
      </w:r>
      <w:hyperlink r:id="rId13">
        <w:r>
          <w:rPr>
            <w:color w:val="0563C1"/>
            <w:u w:val="single"/>
          </w:rPr>
          <w:t>Safe Management of Wastes from Health-Care Activities</w:t>
        </w:r>
      </w:hyperlink>
      <w:r>
        <w:t xml:space="preserve"> (2nd ed.). Waste framework only; BMW colour-coding and SPCB handover remain HIC.3.</w:t>
      </w:r>
    </w:p>
    <w:p>
      <w:pPr>
        <w:pStyle w:val="ListParagraph"/>
      </w:pPr>
      <w:r>
        <w:t xml:space="preserve">• </w:t>
      </w:r>
      <w:r>
        <w:t xml:space="preserve">World Health Organization. (2015). </w:t>
      </w:r>
      <w:hyperlink r:id="rId15">
        <w:r>
          <w:rPr>
            <w:color w:val="0563C1"/>
            <w:u w:val="single"/>
          </w:rPr>
          <w:t>Hospital Safety Index: Guide for Evaluators</w:t>
        </w:r>
      </w:hyperlink>
      <w:r>
        <w:t xml:space="preserve"> (2nd ed.). Evaluator framework, not a mandated score.</w:t>
      </w:r>
    </w:p>
    <w:p>
      <w:pPr>
        <w:pStyle w:val="ListParagraph"/>
      </w:pPr>
      <w:r>
        <w:t xml:space="preserve">• </w:t>
      </w:r>
      <w:r>
        <w:t xml:space="preserve">Aggarwal, R., Mytton, O. T., Derbrew, M., Hananel, D., Heydenburg, M., Issenberg, B., MacAulay, C., Mancini, M. E., Morimoto, T., Soper, N., Ziv, A., &amp; Reznick, R. (2010). </w:t>
      </w:r>
      <w:hyperlink r:id="rId10">
        <w:r>
          <w:rPr>
            <w:color w:val="0563C1"/>
            <w:u w:val="single"/>
          </w:rPr>
          <w:t>Training and simulation for patient safety</w:t>
        </w:r>
      </w:hyperlink>
      <w:r>
        <w:t>. Quality and Safety in Health Care, 19(Suppl 2), i34-i43. Infrastructure-and-safety framework.</w:t>
      </w:r>
    </w:p>
    <w:p>
      <w:pPr>
        <w:pStyle w:val="ListParagraph"/>
      </w:pPr>
      <w:r>
        <w:t xml:space="preserve">• </w:t>
      </w:r>
      <w:r>
        <w:t xml:space="preserve">American Society for Health Care Engineering. (2015). </w:t>
      </w:r>
      <w:hyperlink r:id="rId11">
        <w:r>
          <w:rPr>
            <w:color w:val="0563C1"/>
            <w:u w:val="single"/>
          </w:rPr>
          <w:t>Infrastructures to improve patient safety</w:t>
        </w:r>
      </w:hyperlink>
      <w:r>
        <w:t>. Health Facilities Management. Framework reference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s.gov.in/others/national-building-code/" TargetMode="External"/><Relationship Id="rId10" Type="http://schemas.openxmlformats.org/officeDocument/2006/relationships/hyperlink" Target="https://qualitysafety.bmj.com/content/19/Suppl_2/i34" TargetMode="External"/><Relationship Id="rId11" Type="http://schemas.openxmlformats.org/officeDocument/2006/relationships/hyperlink" Target="https://www.hfmmagazine.com/articles/1827-infrastructures-to-improve-patient-safety" TargetMode="External"/><Relationship Id="rId12" Type="http://schemas.openxmlformats.org/officeDocument/2006/relationships/hyperlink" Target="https://www.mdpi.com/1660-4601/15/11/2366" TargetMode="External"/><Relationship Id="rId13" Type="http://schemas.openxmlformats.org/officeDocument/2006/relationships/hyperlink" Target="https://www.who.int/publications-detail-redirect/9789241548564" TargetMode="External"/><Relationship Id="rId14" Type="http://schemas.openxmlformats.org/officeDocument/2006/relationships/hyperlink" Target="https://nabh.co/programmes/small-healthcare-organisation-shco-accreditation-programme/" TargetMode="External"/><Relationship Id="rId15" Type="http://schemas.openxmlformats.org/officeDocument/2006/relationships/hyperlink" Target="https://www.who.int/publications/i/item/9789241548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