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HIC.1.a — The hospital infection prevention and control programme is documented, which aims at preventing and reducing the risk of healthcare associated infections in the hospital.</w:t>
      </w:r>
    </w:p>
    <w:p>
      <w:r>
        <w:t>HIC.1 Record 01 — HIC programme document and approval register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HIC programme is actually written down with every required element, approved by name, and kept available to staff -- not an idea everyone assumes exists.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HIC programme manual, version 3.0, approved by the Medical Superintendent on 10-Jan-2026, is placed on the staff intranet and reviewed for currency every January.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hospital with no single written programme has no one place that says what infection control actually covers -- gaps between departments go unnoticed because nobody owns the whole picture.</w:t>
            </w:r>
          </w:p>
        </w:tc>
      </w:tr>
    </w:tbl>
    <w:p/>
    <w:p>
      <w:r>
        <w:t>How to fill this in — column by column</w:t>
      </w:r>
    </w:p>
    <w:p>
      <w:r>
        <w:t>Programme Element: Which part of the programme (surveillance plan, antimicrobial stewardship references, BMW references, etc.).</w:t>
      </w:r>
    </w:p>
    <w:p>
      <w:r>
        <w:t>Document Reference / Version: Where it lives and which version.</w:t>
      </w:r>
    </w:p>
    <w:p>
      <w:r>
        <w:t>Approved By / Date: Medical Superintendent's sign-off.</w:t>
      </w:r>
    </w:p>
    <w:p>
      <w:r>
        <w:t>Availability Location: Where staff can access it.</w:t>
      </w:r>
    </w:p>
    <w:p>
      <w:r>
        <w:t>Next Review Due: Date of next annual review.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HIC.1.</w:t>
      </w:r>
    </w:p>
    <w:p>
      <w:pPr>
        <w:pStyle w:val="ListParagraph"/>
      </w:pPr>
      <w:r>
        <w:t xml:space="preserve">• </w:t>
      </w:r>
      <w:r>
        <w:t xml:space="preserve">World Health Organization. (2016). </w:t>
      </w:r>
      <w:hyperlink r:id="rId10">
        <w:r>
          <w:rPr>
            <w:color w:val="0563C1"/>
            <w:u w:val="single"/>
          </w:rPr>
          <w:t>Guidelines on core components of infection prevention and control programmes at the national and acute health care facility level</w:t>
        </w:r>
      </w:hyperlink>
      <w:r>
        <w:t>. Geneva: WHO -- the internationally recognised framework this hospital's infection-control programme, committee and team structure are built on.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Programme Element</w:t>
            </w:r>
          </w:p>
        </w:tc>
        <w:tc>
          <w:tcPr>
            <w:tcW w:type="dxa" w:w="1728"/>
          </w:tcPr>
          <w:p>
            <w:r>
              <w:t>Document Reference / Version</w:t>
            </w:r>
          </w:p>
        </w:tc>
        <w:tc>
          <w:tcPr>
            <w:tcW w:type="dxa" w:w="1728"/>
          </w:tcPr>
          <w:p>
            <w:r>
              <w:t>Approved By / Date</w:t>
            </w:r>
          </w:p>
        </w:tc>
        <w:tc>
          <w:tcPr>
            <w:tcW w:type="dxa" w:w="1728"/>
          </w:tcPr>
          <w:p>
            <w:r>
              <w:t>Availability Location</w:t>
            </w:r>
          </w:p>
        </w:tc>
        <w:tc>
          <w:tcPr>
            <w:tcW w:type="dxa" w:w="1728"/>
          </w:tcPr>
          <w:p>
            <w:r>
              <w:t>Next Review Due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Surveillance plan</w:t>
            </w:r>
          </w:p>
        </w:tc>
        <w:tc>
          <w:tcPr>
            <w:tcW w:type="dxa" w:w="1728"/>
            <w:shd w:val="clear" w:color="auto" w:fill="FFF2CC"/>
          </w:tcPr>
          <w:p>
            <w:r>
              <w:t>HIC Manual v3.0, Section 4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Rao (MS) — 10-Jan-2026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intranet / ICC office</w:t>
            </w:r>
          </w:p>
        </w:tc>
        <w:tc>
          <w:tcPr>
            <w:tcW w:type="dxa" w:w="1728"/>
            <w:shd w:val="clear" w:color="auto" w:fill="FFF2CC"/>
          </w:tcPr>
          <w:p>
            <w:r>
              <w:t>Jan-2027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who.int/publications/i/item/97892415499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