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HIC.1.b — The infection prevention and control programme is reviewed based on infection control assessment tool.</w:t>
      </w:r>
    </w:p>
    <w:p>
      <w:r>
        <w:t>HIC.1 Record 02 — Annual infection control assessment and gap-closure tracker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the programme was actually scored against an assessment tool each year, with gaps named, owned and tracked to closure -- not a review that produced a score and nothing else.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The 2026 assessment scores the programme at 78%, flags BMW segregation training as a gap, assigns the Infection Control Nurse to close it by March, and the Quality Coordinator confirms closure in April.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 programme that is never scored against anything just repeats last year's gaps -- scoring it is what turns "we have a programme" into "we know exactly where it is weak."</w:t>
            </w:r>
          </w:p>
        </w:tc>
      </w:tr>
    </w:tbl>
    <w:p/>
    <w:p>
      <w:r>
        <w:t>How to fill this in — column by column</w:t>
      </w:r>
    </w:p>
    <w:p>
      <w:r>
        <w:t>Assessment Date: When the tool was applied.</w:t>
      </w:r>
    </w:p>
    <w:p>
      <w:r>
        <w:t>Score / Findings: Result and key gaps identified.</w:t>
      </w:r>
    </w:p>
    <w:p>
      <w:r>
        <w:t>Corrective Action / Owner / Target Date: Who fixes what, by when.</w:t>
      </w:r>
    </w:p>
    <w:p>
      <w:r>
        <w:t>Closure Confirmed By / Date: Quality Coordinator's sign-off.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Hospital Infection Control chapter, standard HIC.1.</w:t>
      </w:r>
    </w:p>
    <w:p>
      <w:pPr>
        <w:pStyle w:val="ListParagraph"/>
      </w:pPr>
      <w:r>
        <w:t xml:space="preserve">• </w:t>
      </w:r>
      <w:r>
        <w:t xml:space="preserve">World Health Organization. (2016). </w:t>
      </w:r>
      <w:hyperlink r:id="rId10">
        <w:r>
          <w:rPr>
            <w:color w:val="0563C1"/>
            <w:u w:val="single"/>
          </w:rPr>
          <w:t>Guidelines on core components of infection prevention and control programmes at the national and acute health care facility level</w:t>
        </w:r>
      </w:hyperlink>
      <w:r>
        <w:t>. Geneva: WHO -- the internationally recognised framework this hospital's infection-control programme, committee and team structure are built on.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Assessment Date</w:t>
            </w:r>
          </w:p>
        </w:tc>
        <w:tc>
          <w:tcPr>
            <w:tcW w:type="dxa" w:w="2160"/>
          </w:tcPr>
          <w:p>
            <w:r>
              <w:t>Score / Findings</w:t>
            </w:r>
          </w:p>
        </w:tc>
        <w:tc>
          <w:tcPr>
            <w:tcW w:type="dxa" w:w="2160"/>
          </w:tcPr>
          <w:p>
            <w:r>
              <w:t>Corrective Action / Owner / Target Date</w:t>
            </w:r>
          </w:p>
        </w:tc>
        <w:tc>
          <w:tcPr>
            <w:tcW w:type="dxa" w:w="2160"/>
          </w:tcPr>
          <w:p>
            <w:r>
              <w:t>Closure Confirmed By / Date</w:t>
            </w:r>
          </w:p>
        </w:tc>
      </w:tr>
      <w:tr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</w:tr>
      <w:tr>
        <w:tc>
          <w:tcPr>
            <w:tcW w:type="dxa" w:w="2160"/>
            <w:shd w:val="clear" w:color="auto" w:fill="FFF2CC"/>
          </w:tcPr>
          <w:p>
            <w:r>
              <w:t>WORKED EXAMPLE — 15-Jan-2026</w:t>
            </w:r>
          </w:p>
        </w:tc>
        <w:tc>
          <w:tcPr>
            <w:tcW w:type="dxa" w:w="2160"/>
            <w:shd w:val="clear" w:color="auto" w:fill="FFF2CC"/>
          </w:tcPr>
          <w:p>
            <w:r>
              <w:t>78% — BMW segregation training gap in ward housekeeping staff</w:t>
            </w:r>
          </w:p>
        </w:tc>
        <w:tc>
          <w:tcPr>
            <w:tcW w:type="dxa" w:w="2160"/>
            <w:shd w:val="clear" w:color="auto" w:fill="FFF2CC"/>
          </w:tcPr>
          <w:p>
            <w:r>
              <w:t>Re-training session; Infection Control Nurse / 15-Mar-2026</w:t>
            </w:r>
          </w:p>
        </w:tc>
        <w:tc>
          <w:tcPr>
            <w:tcW w:type="dxa" w:w="2160"/>
            <w:shd w:val="clear" w:color="auto" w:fill="FFF2CC"/>
          </w:tcPr>
          <w:p>
            <w:r>
              <w:t>Quality Coordinator — 02-Apr-2026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Relationship Id="rId10" Type="http://schemas.openxmlformats.org/officeDocument/2006/relationships/hyperlink" Target="https://www.who.int/publications/i/item/978924154992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