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HIC.2.c — The organisation adheres to transmission-based precautions.</w:t>
      </w:r>
    </w:p>
    <w:p>
      <w:r>
        <w:t>HIC.2 Record 03 — Transmission-based-precaution assignment and de-escalation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patient placed on contact, droplet or airborne precautions actually had the right signage and PPE applied, and that de-escalation was a documented decision, not a drift back to normal practice.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 with suspected pulmonary TB is placed on airborne precautions with N95 signage at the door; de-escalation to standard precautions follows two negative sputum results, documented by the treating doctor.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Standard precautions alone are not enough once a specific organism and its way of spreading are known -- an airborne infection needs a different barrier than a contact one, and getting that wrong spreads it further.</w:t>
            </w:r>
          </w:p>
        </w:tc>
      </w:tr>
    </w:tbl>
    <w:p/>
    <w:p>
      <w:r>
        <w:t>How to fill this in — column by column</w:t>
      </w:r>
    </w:p>
    <w:p>
      <w:r>
        <w:t>Patient / Bed: Who and where.</w:t>
      </w:r>
    </w:p>
    <w:p>
      <w:r>
        <w:t>Precaution Type (Contact/Droplet/Airborne): Which one.</w:t>
      </w:r>
    </w:p>
    <w:p>
      <w:r>
        <w:t>Signage / PPE Confirmed (Y/N): Applied correctly.</w:t>
      </w:r>
    </w:p>
    <w:p>
      <w:r>
        <w:t>De-escalation Date / Criteria Met: When and why stepped down.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/ Bed</w:t>
            </w:r>
          </w:p>
        </w:tc>
        <w:tc>
          <w:tcPr>
            <w:tcW w:type="dxa" w:w="2160"/>
          </w:tcPr>
          <w:p>
            <w:r>
              <w:t>Precaution Type (Contact/Droplet/Airborne)</w:t>
            </w:r>
          </w:p>
        </w:tc>
        <w:tc>
          <w:tcPr>
            <w:tcW w:type="dxa" w:w="2160"/>
          </w:tcPr>
          <w:p>
            <w:r>
              <w:t>Signage / PPE Confirmed (Y/N)</w:t>
            </w:r>
          </w:p>
        </w:tc>
        <w:tc>
          <w:tcPr>
            <w:tcW w:type="dxa" w:w="2160"/>
          </w:tcPr>
          <w:p>
            <w:r>
              <w:t>De-escalation Date / Criteria Met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Patient UID-00458 / Bed 12</w:t>
            </w:r>
          </w:p>
        </w:tc>
        <w:tc>
          <w:tcPr>
            <w:tcW w:type="dxa" w:w="2160"/>
            <w:shd w:val="clear" w:color="auto" w:fill="FFF2CC"/>
          </w:tcPr>
          <w:p>
            <w:r>
              <w:t>Airborne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22-Feb-2026 — two negative sputum smears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