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HIC.2.f — The organisation implements the antimicrobial usage policy and monitors the rational use of antimicrobial agents.</w:t>
      </w:r>
    </w:p>
    <w:p>
      <w:r>
        <w:t>HIC.2 Record 06 — Monthly antimicrobial-prescription audit report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real prescriptions were actually checked against the antimicrobial policy every month, with feedback actually given to prescribers -- not a policy left to enforce itself.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March audit of 20 inpatient charts finds 85% compliance with empirical-therapy recommendations, with feedback shared at the department meeting.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policy that sits in a folder while prescribing continues unchanged has achieved nothing -- checking actual prescriptions against it is what tells this hospital whether the policy is working.</w:t>
            </w:r>
          </w:p>
        </w:tc>
      </w:tr>
    </w:tbl>
    <w:p/>
    <w:p>
      <w:r>
        <w:t>How to fill this in — column by column</w:t>
      </w:r>
    </w:p>
    <w:p>
      <w:r>
        <w:t>Month: Which month.</w:t>
      </w:r>
    </w:p>
    <w:p>
      <w:r>
        <w:t>Sample Size: Charts reviewed.</w:t>
      </w:r>
    </w:p>
    <w:p>
      <w:r>
        <w:t>Compliance Rate: Percentage compliant.</w:t>
      </w:r>
    </w:p>
    <w:p>
      <w:r>
        <w:t>Feedback Given (Y/N, Date): To prescribers.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Sample Size</w:t>
            </w:r>
          </w:p>
        </w:tc>
        <w:tc>
          <w:tcPr>
            <w:tcW w:type="dxa" w:w="2160"/>
          </w:tcPr>
          <w:p>
            <w:r>
              <w:t>Compliance Rate</w:t>
            </w:r>
          </w:p>
        </w:tc>
        <w:tc>
          <w:tcPr>
            <w:tcW w:type="dxa" w:w="2160"/>
          </w:tcPr>
          <w:p>
            <w:r>
              <w:t>Feedback Given (Y/N, Date)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March 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20 charts</w:t>
            </w:r>
          </w:p>
        </w:tc>
        <w:tc>
          <w:tcPr>
            <w:tcW w:type="dxa" w:w="2160"/>
            <w:shd w:val="clear" w:color="auto" w:fill="FFF2CC"/>
          </w:tcPr>
          <w:p>
            <w:r>
              <w:t>85%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10-Apr-2026 department meeting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