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HIC.4.c — The organisation takes action to prevent catheter linked blood stream infections.</w:t>
      </w:r>
    </w:p>
    <w:p>
      <w:r>
        <w:t>HIC.4 Record 03 — CLABSI bundle insertion checklist and line-necessity review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central line was actually inserted with maximal barrier precautions and actually reviewed every day for continued need -- or, where no central lines are inserted, a recorded absence.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central line inserted for a patient needing long-term IV access is documented with maximal sterile barrier precautions, subclavian site, and daily necessity review confirming it is still required on day 4.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central line gives bacteria a direct route into the bloodstream -- every extra day it stays in without being needed, and every time it is accessed without a clean hub, is another chance for that route to be used.</w:t>
            </w:r>
          </w:p>
        </w:tc>
      </w:tr>
    </w:tbl>
    <w:p/>
    <w:p>
      <w:r>
        <w:t>How to fill this in — column by column</w:t>
      </w:r>
    </w:p>
    <w:p>
      <w:r>
        <w:t>Patient / Insertion Date: Who and when.</w:t>
      </w:r>
    </w:p>
    <w:p>
      <w:r>
        <w:t>Site / Maximal Barrier Precautions (Y/N): Confirmed.</w:t>
      </w:r>
    </w:p>
    <w:p>
      <w:r>
        <w:t>Daily Necessity Review (Date, Still Needed Y/N): Each day's check.</w:t>
      </w:r>
    </w:p>
    <w:p>
      <w:r>
        <w:t>Removal Date: When taken out.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Centers for Disease Control and Prevention. (2011). </w:t>
      </w:r>
      <w:hyperlink r:id="rId9">
        <w:r>
          <w:rPr>
            <w:color w:val="0563C1"/>
            <w:u w:val="single"/>
          </w:rPr>
          <w:t>Guidelines for the prevention of intravascular catheter-related infections</w:t>
        </w:r>
      </w:hyperlink>
      <w:r>
        <w:t>. Atlanta, GA: CDC/HICPAC -- the source of the central-line insertion-and-maintenance bundle this hospital's CLABSI-prevention steps are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/ Insertion Date</w:t>
            </w:r>
          </w:p>
        </w:tc>
        <w:tc>
          <w:tcPr>
            <w:tcW w:type="dxa" w:w="2160"/>
          </w:tcPr>
          <w:p>
            <w:r>
              <w:t>Site / Maximal Barrier Precautions (Y/N)</w:t>
            </w:r>
          </w:p>
        </w:tc>
        <w:tc>
          <w:tcPr>
            <w:tcW w:type="dxa" w:w="2160"/>
          </w:tcPr>
          <w:p>
            <w:r>
              <w:t>Daily Necessity Review (Date, Still Needed Y/N)</w:t>
            </w:r>
          </w:p>
        </w:tc>
        <w:tc>
          <w:tcPr>
            <w:tcW w:type="dxa" w:w="2160"/>
          </w:tcPr>
          <w:p>
            <w:r>
              <w:t>Removal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UID-00527 / 08-Mar-2026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Subclavian / Y</w:t>
            </w:r>
          </w:p>
        </w:tc>
        <w:tc>
          <w:tcPr>
            <w:tcW w:type="dxa" w:w="2160"/>
            <w:shd w:val="clear" w:color="auto" w:fill="FFF2CC"/>
          </w:tcPr>
          <w:p>
            <w:r>
              <w:t>09-Mar Y; 10-Mar Y; 11-Mar N</w:t>
            </w:r>
          </w:p>
        </w:tc>
        <w:tc>
          <w:tcPr>
            <w:tcW w:type="dxa" w:w="2160"/>
            <w:shd w:val="clear" w:color="auto" w:fill="FFF2CC"/>
          </w:tcPr>
          <w:p>
            <w:r>
              <w:t>11-Mar-2026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dc.gov/infection-control/hcp/intravascular-catheter-related-infections/introduction.html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