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HIC.4.d — The organisation takes action to prevent surgical site infections.</w:t>
      </w:r>
    </w:p>
    <w:p>
      <w:r>
        <w:t>HIC.4 Record 04 — SSI-prevention bundle checklist and 30/90-day surveillance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prophylactic antibiotics, skin preparation and post-operative surveillance actually happened for a surgical patient -- not assumed because the surgery itself went well.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hernia-repair patient's checklist confirms prophylactic antibiotic given 45 minutes before incision and chlorhexidine-alcohol skin prep; 30-day follow-up finds no SSI.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SSI prevention is not one decision made in the operating theatre -- it is a chain of small decisions before, during and after surgery, and the chain only holds if every link is actually done.</w:t>
            </w:r>
          </w:p>
        </w:tc>
      </w:tr>
    </w:tbl>
    <w:p/>
    <w:p>
      <w:r>
        <w:t>How to fill this in — column by column</w:t>
      </w:r>
    </w:p>
    <w:p>
      <w:r>
        <w:t>Patient / Procedure / Date: Who, what, when.</w:t>
      </w:r>
    </w:p>
    <w:p>
      <w:r>
        <w:t>Antibiotic Timing (Within 60 min, Y/N): Confirmed.</w:t>
      </w:r>
    </w:p>
    <w:p>
      <w:r>
        <w:t>Skin Prep Used: Chlorhexidine-alcohol or povidone-iodine.</w:t>
      </w:r>
    </w:p>
    <w:p>
      <w:r>
        <w:t>Surveillance Follow-up (30/90 Days, SSI Y/N): Outcome.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World Health Organization. (2018). </w:t>
      </w:r>
      <w:hyperlink r:id="rId9">
        <w:r>
          <w:rPr>
            <w:color w:val="0563C1"/>
            <w:u w:val="single"/>
          </w:rPr>
          <w:t>Global guidelines for the prevention of surgical site infection</w:t>
        </w:r>
      </w:hyperlink>
      <w:r>
        <w:t xml:space="preserve"> (2nd ed.). Geneva: WHO -- the source of the pre-/intra-/post-operative bundle this hospital's SSI-prevention steps are built on.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 / Procedure / Date</w:t>
            </w:r>
          </w:p>
        </w:tc>
        <w:tc>
          <w:tcPr>
            <w:tcW w:type="dxa" w:w="2160"/>
          </w:tcPr>
          <w:p>
            <w:r>
              <w:t>Antibiotic Timing (Within 60 min, Y/N)</w:t>
            </w:r>
          </w:p>
        </w:tc>
        <w:tc>
          <w:tcPr>
            <w:tcW w:type="dxa" w:w="2160"/>
          </w:tcPr>
          <w:p>
            <w:r>
              <w:t>Skin Prep Used</w:t>
            </w:r>
          </w:p>
        </w:tc>
        <w:tc>
          <w:tcPr>
            <w:tcW w:type="dxa" w:w="2160"/>
          </w:tcPr>
          <w:p>
            <w:r>
              <w:t>Surveillance Follow-up (30/90 Days, SSI Y/N)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UID-00533 / Hernia repair / 05-Mar-2026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45 min before incision</w:t>
            </w:r>
          </w:p>
        </w:tc>
        <w:tc>
          <w:tcPr>
            <w:tcW w:type="dxa" w:w="2160"/>
            <w:shd w:val="clear" w:color="auto" w:fill="FFF2CC"/>
          </w:tcPr>
          <w:p>
            <w:r>
              <w:t>Chlorhexidine-alcohol</w:t>
            </w:r>
          </w:p>
        </w:tc>
        <w:tc>
          <w:tcPr>
            <w:tcW w:type="dxa" w:w="2160"/>
            <w:shd w:val="clear" w:color="auto" w:fill="FFF2CC"/>
          </w:tcPr>
          <w:p>
            <w:r>
              <w:t>30-day follow-up — N (no SSI)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/i/item/9789241550475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