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HIC.5.d — The organisation identifies and takes appropriate action to control outbreaks of infections.</w:t>
      </w:r>
    </w:p>
    <w:p>
      <w:r>
        <w:t>HIC.5 Record 04 — Outbreak log and post-outbreak report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suspected outbreak was actually investigated, controlled and closed with lessons learned -- not a cluster of cases that was noticed and then left uninvestigated.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Three cases of an unusual organism in the ICU within five days trigger an outbreak investigation; cohorting and enhanced cleaning are implemented, and the outbreak is declared closed after two incubation periods with no new cases.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outbreak that is caught at two or three cases can be contained with cohorting and enhanced cleaning -- the same outbreak caught at twenty cases has already spread far beyond what those measures can undo.</w:t>
            </w:r>
          </w:p>
        </w:tc>
      </w:tr>
    </w:tbl>
    <w:p/>
    <w:p>
      <w:r>
        <w:t>How to fill this in — column by column</w:t>
      </w:r>
    </w:p>
    <w:p>
      <w:r>
        <w:t>Suspected Date / Trigger: What raised the alarm.</w:t>
      </w:r>
    </w:p>
    <w:p>
      <w:r>
        <w:t>Case Count / Source Hypothesis: Investigation findings.</w:t>
      </w:r>
    </w:p>
    <w:p>
      <w:r>
        <w:t>Control Measures Taken: What was done.</w:t>
      </w:r>
    </w:p>
    <w:p>
      <w:r>
        <w:t>Closure Date / Lessons Learnt: When declared over and what was learned.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HIC.5.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Suspected Date / Trigger</w:t>
            </w:r>
          </w:p>
        </w:tc>
        <w:tc>
          <w:tcPr>
            <w:tcW w:type="dxa" w:w="2160"/>
          </w:tcPr>
          <w:p>
            <w:r>
              <w:t>Case Count / Source Hypothesis</w:t>
            </w:r>
          </w:p>
        </w:tc>
        <w:tc>
          <w:tcPr>
            <w:tcW w:type="dxa" w:w="2160"/>
          </w:tcPr>
          <w:p>
            <w:r>
              <w:t>Control Measures Taken</w:t>
            </w:r>
          </w:p>
        </w:tc>
        <w:tc>
          <w:tcPr>
            <w:tcW w:type="dxa" w:w="2160"/>
          </w:tcPr>
          <w:p>
            <w:r>
              <w:t>Closure Date / Lessons Learnt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20-Mar-2026 / 3 cases in 5 days</w:t>
            </w:r>
          </w:p>
        </w:tc>
        <w:tc>
          <w:tcPr>
            <w:tcW w:type="dxa" w:w="2160"/>
            <w:shd w:val="clear" w:color="auto" w:fill="FFF2CC"/>
          </w:tcPr>
          <w:p>
            <w:r>
              <w:t>3 cases / suspected contaminated equipment</w:t>
            </w:r>
          </w:p>
        </w:tc>
        <w:tc>
          <w:tcPr>
            <w:tcW w:type="dxa" w:w="2160"/>
            <w:shd w:val="clear" w:color="auto" w:fill="FFF2CC"/>
          </w:tcPr>
          <w:p>
            <w:r>
              <w:t>Cohorting, enhanced cleaning, equipment withdrawn</w:t>
            </w:r>
          </w:p>
        </w:tc>
        <w:tc>
          <w:tcPr>
            <w:tcW w:type="dxa" w:w="2160"/>
            <w:shd w:val="clear" w:color="auto" w:fill="FFF2CC"/>
          </w:tcPr>
          <w:p>
            <w:r>
              <w:t>05-Apr-2026 — equipment disinfection protocol revised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