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Cardiopulmonary Resuscitation Services</w:t>
      </w:r>
    </w:p>
    <w:p>
      <w:pPr>
        <w:spacing w:after="240"/>
        <w:jc w:val="center"/>
      </w:pPr>
      <w:r>
        <w:rPr>
          <w:i/>
          <w:iCs/>
          <w:sz w:val="20"/>
          <w:szCs w:val="20"/>
        </w:rPr>
        <w:t xml:space="preserve">CPR services uniformly across the organisation.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spacing w:after="140"/>
      </w:pPr>
      <w:r>
        <w:rPr>
          <w:sz w:val="22"/>
          <w:szCs w:val="22"/>
        </w:rPr>
        <w:t xml:space="preserve">The chapter intent is that CPR is available, structured, equipped, and reviewed — not a crash cart gathering dust.</w:t>
      </w:r>
    </w:p>
    <w:p>
      <w:pPr>
        <w:spacing w:after="140"/>
      </w:pPr>
      <w:r>
        <w:rPr>
          <w:sz w:val="22"/>
          <w:szCs w:val="22"/>
        </w:rPr>
        <w:t xml:space="preserve">This policy owns CPR. COP.2 owns emergency department operations. MOM owns medication management. COP.6 owns ICU care.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COP.2 owns emergency department operations. This policy owns CPR wherever it occurs, including in the emergency department.</w:t>
      </w:r>
    </w:p>
    <w:p>
      <w:pPr>
        <w:pStyle w:val="ListParagraph"/>
        <w:numPr>
          <w:ilvl w:val="0"/>
          <w:numId w:val="1"/>
        </w:numPr>
        <w:spacing w:after="60"/>
      </w:pPr>
      <w:r>
        <w:rPr>
          <w:sz w:val="22"/>
          <w:szCs w:val="22"/>
        </w:rPr>
        <w:t xml:space="preserve">MOM owns medication management. This policy owns that CPR medications are available and checked on the crash cart.</w:t>
      </w:r>
    </w:p>
    <w:p>
      <w:pPr>
        <w:pStyle w:val="ListParagraph"/>
        <w:numPr>
          <w:ilvl w:val="0"/>
          <w:numId w:val="1"/>
        </w:numPr>
        <w:spacing w:after="60"/>
      </w:pPr>
      <w:r>
        <w:rPr>
          <w:sz w:val="22"/>
          <w:szCs w:val="22"/>
        </w:rPr>
        <w:t xml:space="preserve">COP.6 owns ICU care. This policy owns CPR in the ICU as in any other area.</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BLS — basic life support
CAPA — corrective and preventive action
COP — Care of Patients (NABH SHCO chapter 5)
CPR — cardiopulmonary resuscitation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 xml:space="preserve">13. Traceability to NABH SHCO 3rd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«COP/POL/03»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