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Procedural Sedation</w:t>
      </w:r>
    </w:p>
    <w:p>
      <w:pPr>
        <w:spacing w:after="240"/>
        <w:jc w:val="center"/>
      </w:pPr>
      <w:r>
        <w:rPr>
          <w:i/>
          <w:iCs/>
          <w:sz w:val="20"/>
          <w:szCs w:val="20"/>
        </w:rPr>
        <w:t xml:space="preserve">Consistent and safe procedural sedation.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 xml:space="preserve">Root-cause analysis is required when a sedation safety defect recurs within six months.</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 xml:space="preserve">12. Abbreviations</w:t>
      </w:r>
    </w:p>
    <w:p>
      <w:pPr>
        <w:spacing w:after="140"/>
      </w:pPr>
      <w:r>
        <w:rPr>
          <w:sz w:val="22"/>
          <w:szCs w:val="22"/>
        </w:rPr>
        <w:t xml:space="preserve">ACLS — advanced cardiovascular life support
BLS — basic life support
CAPA — corrective and preventive action
ECG — electrocardiogram
NABH — National Accreditation Board for Hospitals and Healthcare Providers
NIBP — non-invasive blood pressure
OE — objective element
SHCO — Standards for Small Healthcare Organisations</w:t>
      </w:r>
    </w:p>
    <w:p>
      <w:pPr>
        <w:pStyle w:val="Heading1"/>
        <w:spacing w:after="120" w:before="280"/>
      </w:pPr>
      <w:r>
        <w:t xml:space="preserve">13. Traceability to NABH SHCO 3rd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«COP/POL/09»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