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Performance Appraisal</w:t>
      </w:r>
    </w:p>
    <w:p>
      <w:pPr>
        <w:spacing w:after="240"/>
        <w:jc w:val="center"/>
      </w:pPr>
      <w:r>
        <w:rPr>
          <w:i/>
          <w:iCs/>
          <w:sz w:val="20"/>
          <w:szCs w:val="20"/>
        </w:rPr>
        <w:t xml:space="preserve">Performance appraisal, criteria and development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spacing w:after="140"/>
      </w:pPr>
      <w:r>
        <w:rPr>
          <w:sz w:val="22"/>
          <w:szCs w:val="22"/>
        </w:rPr>
        <w:t xml:space="preserve">HRM.1 owns job descriptions that feed appraisal criteria. HRM.2 owns training triggered by appraisal outcomes. ROM.2.d owns performance review of the person heading the organisation.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except the person heading the organisation (ROM.2.d owns that review). It applies to the «HR In-Charge / Personnel Officer», department heads, the «Medical Superintendent» and the «Quality Coordinator».</w:t>
      </w:r>
    </w:p>
    <w:p>
      <w:pPr>
        <w:spacing w:after="140"/>
      </w:pPr>
      <w:r>
        <w:rPr>
          <w:sz w:val="22"/>
          <w:szCs w:val="22"/>
        </w:rPr>
        <w:t xml:space="preserve">It covers HRM.4.a–d. It does not cover the governing body's review of the Medical Superintendent (ROM.2.d), recruitment (HRM.1) or the training programme (HRM.2).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ROM.2.d owns performance review of the person heading the organisation. HRM.4 owns appraisal of all other staff.</w:t>
      </w:r>
    </w:p>
    <w:p>
      <w:pPr>
        <w:pStyle w:val="ListParagraph"/>
        <w:numPr>
          <w:ilvl w:val="0"/>
          <w:numId w:val="1"/>
        </w:numPr>
        <w:spacing w:after="60"/>
      </w:pPr>
      <w:r>
        <w:rPr>
          <w:sz w:val="22"/>
          <w:szCs w:val="22"/>
        </w:rPr>
        <w:t xml:space="preserve">HRM.1.e owns job descriptions that define role expectations used as appraisal criteria.</w:t>
      </w:r>
    </w:p>
    <w:p>
      <w:pPr>
        <w:pStyle w:val="ListParagraph"/>
        <w:numPr>
          <w:ilvl w:val="0"/>
          <w:numId w:val="1"/>
        </w:numPr>
        <w:spacing w:after="60"/>
      </w:pPr>
      <w:r>
        <w:rPr>
          <w:sz w:val="22"/>
          <w:szCs w:val="22"/>
        </w:rPr>
        <w:t xml:space="preserve">HRM.2 owns training and development delivered after appraisal identifies gaps.</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 xml:space="preserve">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(HRM.2) and disciplinary action (HRM.1.i).</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 xml:space="preserve">Performance is evaluated based on pre-determined criteria at «Hospital Name». Criteria are derived from the job description (HRM.1.e)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 xml:space="preserve">The appraisal system is used as a tool for further development at «Hospital Name». Each appraisal identifies strengths, areas for improvement and a development plan. Development actions may include: training (HRM.2);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 xml:space="preserve">This policy is reviewed «annually», and sooner when HRM.1 job 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HRM — Human Resource Management (NABH SHCO chapter 8)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«HRM/POL/04»  |  Controlled document  |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