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Needs of Stakeholders — Capture and Analysis of Data</w:t>
      </w:r>
    </w:p>
    <w:p>
      <w:pPr>
        <w:spacing w:after="240"/>
        <w:jc w:val="center"/>
      </w:pPr>
      <w:r>
        <w:rPr>
          <w:i/>
          <w:iCs/>
          <w:sz w:val="20"/>
          <w:szCs w:val="20"/>
        </w:rPr>
        <w:t xml:space="preserve">Information needs, data capture, storage, retrieval and analysis.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The chapter intent is that the right information is available to the right person at the right time, in an authenticated, secure and accurate manner.</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IMS.2 owns the complete and accurate medical record. This policy owns organisation-wide information needs and data analysis, not the clinical-record form.</w:t>
      </w:r>
    </w:p>
    <w:p>
      <w:pPr>
        <w:pStyle w:val="ListParagraph"/>
        <w:numPr>
          <w:ilvl w:val="0"/>
          <w:numId w:val="1"/>
        </w:numPr>
        <w:spacing w:after="60"/>
      </w:pPr>
      <w:r>
        <w:rPr>
          <w:sz w:val="22"/>
          <w:szCs w:val="22"/>
        </w:rPr>
        <w:t xml:space="preserve">PSQ.2 owns key indicators. This policy owns that data collection is standardised so those indicators (and other needs) can be met.</w:t>
      </w:r>
    </w:p>
    <w:p>
      <w:pPr>
        <w:pStyle w:val="ListParagraph"/>
        <w:numPr>
          <w:ilvl w:val="0"/>
          <w:numId w:val="1"/>
        </w:numPr>
        <w:spacing w:after="60"/>
      </w:pPr>
      <w:r>
        <w:rPr>
          <w:sz w:val="22"/>
          <w:szCs w:val="22"/>
        </w:rPr>
        <w:t xml:space="preserve">IMS.4 owns confidentiality when information is disseminated. This policy owns who needs what information, not the disclosure gate.</w:t>
      </w:r>
    </w:p>
    <w:p>
      <w:pPr>
        <w:pStyle w:val="ListParagraph"/>
        <w:numPr>
          <w:ilvl w:val="0"/>
          <w:numId w:val="1"/>
        </w:numPr>
        <w:spacing w:after="60"/>
      </w:pPr>
      <w:r>
        <w:rPr>
          <w:sz w:val="22"/>
          <w:szCs w:val="22"/>
        </w:rPr>
        <w:t xml:space="preserve">External-database contribution is done in accordance with law and regulations. This policy does not import a named Act as a checklist.</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 xml:space="preserve">The register is reviewed «annually» and when a new service, a new statutory return or a significant change in patient mix is introduced. Obsolete information is withdrawn so that staff, patients and visitors are not confused by out-of-date notices (chapter intent).</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ABDM — Ayushman Bharat Digital Mission
CAPA — corrective and preventive action
EHR — electronic health record
IMS — Information Management System (NABH SHCO chapter 10)
IT — information technology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IMS.1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«IMS/POL/01»  |  Controlled document  |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