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Standard Operating Procedure</w:t>
      </w:r>
    </w:p>
    <w:p>
      <w:r>
        <w:rPr>
          <w:b/>
          <w:sz w:val="26"/>
        </w:rPr>
        <w:t>Facility, Engineering Support and Utility Systems</w:t>
      </w:r>
    </w:p>
    <w:p>
      <w:r>
        <w:t>«Hospital Name» — Supports FMS.4</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this SOP exist? (read this first if you're new)</w:t>
            </w:r>
          </w:p>
          <w:p>
            <w:r>
              <w:rPr>
                <w:sz w:val="20"/>
              </w:rPr>
              <w:t>This policy sets out how «Hospital Name» runs its facility, engineering support services and utility programme. It covers: Planning, inventorying, operating and maintaining utility and engineering equipment Keeping competent maintenance personnel available round the clock Guiding equipment replacement and disposal This policy covers facility, engineering support and utility systems specifically. Related duties — like patient assessment, clinical care, medication management, patient rights, infection control, quality and safety monitoring, or hospital governance — are covered in the hospital's other policies, not repeated here. Words marked like this are defaults. A blank marked ________ must be filled before issue. If you're new to this SOP, the short version is: follow the numbered steps below in order — they exist because skipping one of them is exactly how a facility hazard goes unnoticed until it hurts someone.</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SOP No.</w:t>
            </w:r>
          </w:p>
        </w:tc>
        <w:tc>
          <w:tcPr>
            <w:tcW w:type="dxa" w:w="2420"/>
          </w:tcPr>
          <w:p>
            <w:r/>
            <w:r>
              <w:rPr>
                <w:b w:val="0"/>
                <w:sz w:val="20"/>
              </w:rPr>
              <w:t>[Hospital to define]</w:t>
            </w:r>
          </w:p>
        </w:tc>
        <w:tc>
          <w:tcPr>
            <w:tcW w:type="dxa" w:w="2420"/>
            <w:shd w:val="clear" w:fill="D9E2F3"/>
          </w:tcPr>
          <w:p>
            <w:r/>
            <w:r>
              <w:rPr>
                <w:b/>
                <w:sz w:val="20"/>
              </w:rPr>
              <w:t>Version</w:t>
            </w:r>
          </w:p>
        </w:tc>
        <w:tc>
          <w:tcPr>
            <w:tcW w:type="dxa" w:w="2420"/>
          </w:tcPr>
          <w:p>
            <w:r/>
            <w:r>
              <w:rPr>
                <w:b w:val="0"/>
                <w:sz w:val="20"/>
              </w:rPr>
              <w:t>1.0</w:t>
            </w:r>
          </w:p>
        </w:tc>
      </w:tr>
      <w:tr>
        <w:tc>
          <w:tcPr>
            <w:tcW w:type="dxa" w:w="2420"/>
            <w:shd w:val="clear" w:fill="D9E2F3"/>
          </w:tcPr>
          <w:p>
            <w:r/>
            <w:r>
              <w:rPr>
                <w:b/>
                <w:sz w:val="20"/>
              </w:rPr>
              <w:t>Effective Date</w:t>
            </w:r>
          </w:p>
        </w:tc>
        <w:tc>
          <w:tcPr>
            <w:tcW w:type="dxa" w:w="2420"/>
          </w:tcPr>
          <w:p>
            <w:r/>
            <w:r>
              <w:rPr>
                <w:b w:val="0"/>
                <w:sz w:val="20"/>
              </w:rPr>
              <w:t>________</w:t>
            </w:r>
          </w:p>
        </w:tc>
        <w:tc>
          <w:tcPr>
            <w:tcW w:type="dxa" w:w="2420"/>
            <w:shd w:val="clear" w:fill="D9E2F3"/>
          </w:tcPr>
          <w:p>
            <w:r/>
            <w:r>
              <w:rPr>
                <w:b/>
                <w:sz w:val="20"/>
              </w:rPr>
              <w:t>Review Frequency</w:t>
            </w:r>
          </w:p>
        </w:tc>
        <w:tc>
          <w:tcPr>
            <w:tcW w:type="dxa" w:w="2420"/>
          </w:tcPr>
          <w:p>
            <w:r/>
            <w:r>
              <w:rPr>
                <w:b w:val="0"/>
                <w:sz w:val="20"/>
              </w:rPr>
              <w:t>Annual, or on change</w:t>
            </w:r>
          </w:p>
        </w:tc>
      </w:tr>
      <w:tr>
        <w:tc>
          <w:tcPr>
            <w:tcW w:type="dxa" w:w="2420"/>
            <w:shd w:val="clear" w:fill="D9E2F3"/>
          </w:tcPr>
          <w:p>
            <w:r/>
            <w:r>
              <w:rPr>
                <w:b/>
                <w:sz w:val="20"/>
              </w:rPr>
              <w:t>Prepared By</w:t>
            </w:r>
          </w:p>
        </w:tc>
        <w:tc>
          <w:tcPr>
            <w:tcW w:type="dxa" w:w="7260"/>
            <w:gridSpan w:val="3"/>
          </w:tcPr>
          <w:p>
            <w:r/>
            <w:r>
              <w:rPr>
                <w:b w:val="0"/>
                <w:sz w:val="20"/>
              </w:rPr>
              <w:t>Quality Coordinator   Name: ________   Signature: ________</w:t>
            </w:r>
          </w:p>
        </w:tc>
      </w:tr>
      <w:tr>
        <w:tc>
          <w:tcPr>
            <w:tcW w:type="dxa" w:w="2420"/>
            <w:shd w:val="clear" w:fill="D9E2F3"/>
          </w:tcPr>
          <w:p>
            <w:r/>
            <w:r>
              <w:rPr>
                <w:b/>
                <w:sz w:val="20"/>
              </w:rPr>
              <w:t>Approved By</w:t>
            </w:r>
          </w:p>
        </w:tc>
        <w:tc>
          <w:tcPr>
            <w:tcW w:type="dxa" w:w="7260"/>
            <w:gridSpan w:val="3"/>
          </w:tcPr>
          <w:p>
            <w:r/>
            <w:r>
              <w:rPr>
                <w:b w:val="0"/>
                <w:sz w:val="20"/>
              </w:rPr>
              <w:t>Medical Superintendent   Name: ________   Signature: ________</w:t>
            </w:r>
          </w:p>
        </w:tc>
      </w:tr>
    </w:tbl>
    <w:p>
      <w:pPr>
        <w:pStyle w:val="Heading1"/>
      </w:pPr>
      <w:r>
        <w:t>1. Purpose</w:t>
      </w:r>
    </w:p>
    <w:p>
      <w:r>
        <w:t>This policy sets out how «Hospital Name» runs its facility, engineering support services and utility programme. It covers: Planning, inventorying, operating and maintaining utility and engineering equipment Keeping competent maintenance personnel available round the clock Guiding equipment replacement and disposal This policy covers facility, engineering support and utility systems specifically. Related duties — like patient assessment, clinical care, medication management, patient rights, infection control, quality and safety monitoring, or hospital governance — are covered in the hospital's other policies, not repeated here. Words marked like this are defaults. A blank marked ________ must be filled before issue.</w:t>
      </w:r>
    </w:p>
    <w:p>
      <w:pPr>
        <w:pStyle w:val="Heading1"/>
      </w:pPr>
      <w:r>
        <w:t>2. Scope</w:t>
      </w:r>
    </w:p>
    <w:p>
      <w:r>
        <w:t>This policy applies to «Hospital Name» staff involved in facilities, utilities, medical gases, and fire or non-fire emergencies, including: Engineering, biomedical, nursing and departmental leaders The Engineering In-Charge The Medical Superintendent Departmental leaders The Quality Coordinator This policy covers facility, engineering support and utility systems specifically. Related duties are covered in the hospital's other policies, not repeated here, including: Patient assessment Clinical care Medication management Patient rights Infection control Quality and safety monitoring Hospital governance</w:t>
      </w:r>
    </w:p>
    <w:p>
      <w:pPr>
        <w:pStyle w:val="Heading1"/>
      </w:pPr>
      <w:r>
        <w:t>3. Responsibility</w:t>
      </w:r>
    </w:p>
    <w:p>
      <w:r>
        <w:t xml:space="preserve">Facility Manager / Engineering In-Charge: </w:t>
      </w:r>
      <w:r>
        <w:t>owns the equipment, inventories, inspection schedules and maintenance plans this policy requires, and keeps the required records current.</w:t>
      </w:r>
    </w:p>
    <w:p>
      <w:r>
        <w:t xml:space="preserve">Medical Superintendent: </w:t>
      </w:r>
      <w:r>
        <w:t>escalation point for any gap not being closed, and signs off risk assessments before major facility work.</w:t>
      </w:r>
    </w:p>
    <w:p>
      <w:r>
        <w:t xml:space="preserve">Quality Coordinator: </w:t>
      </w:r>
      <w:r>
        <w:t>audits this policy periodically, checks records against the steps below, and flags gaps for corrective action.</w:t>
      </w:r>
    </w:p>
    <w:p>
      <w:r>
        <w:t xml:space="preserve">Department Heads / Nursing In-charges: </w:t>
      </w:r>
      <w:r>
        <w:t>report facility hazards or equipment issues in their own area promptly and support inspection rounds.</w:t>
      </w:r>
    </w:p>
    <w:p>
      <w:pPr>
        <w:pStyle w:val="Heading1"/>
      </w:pPr>
      <w:r>
        <w:t>4. Plain-Language Glossary</w:t>
      </w:r>
    </w:p>
    <w:p>
      <w:r>
        <w:t>If a word below is unfamiliar, this is what it means in this SOP:</w:t>
      </w:r>
    </w:p>
    <w:p>
      <w:pPr>
        <w:pStyle w:val="ListParagraph"/>
      </w:pPr>
      <w:r>
        <w:rPr>
          <w:b/>
        </w:rPr>
        <w:t xml:space="preserve">ECRI Institute: </w:t>
      </w:r>
      <w:r>
        <w:t>An independent, non-profit body that publishes widely used guidance on how to run a medical/utility equipment inspection and maintenance programme.</w:t>
      </w:r>
    </w:p>
    <w:p>
      <w:pPr>
        <w:pStyle w:val="ListParagraph"/>
      </w:pPr>
      <w:r>
        <w:rPr>
          <w:b/>
        </w:rPr>
        <w:t xml:space="preserve">Condemnation: </w:t>
      </w:r>
      <w:r>
        <w:t>The formal decision that a piece of equipment or material is no longer fit for use and should be taken out of service and disposed of.</w:t>
      </w:r>
    </w:p>
    <w:p>
      <w:pPr>
        <w:pStyle w:val="Heading1"/>
      </w:pPr>
      <w:r>
        <w:t>5. Procedure</w:t>
      </w:r>
    </w:p>
    <w:p>
      <w:pPr>
        <w:pStyle w:val="Heading2"/>
      </w:pPr>
      <w:r>
        <w:t>5.1 The organisation plans for utility and engineering equipment in accordance with its services and strategic plan.</w:t>
      </w:r>
    </w:p>
    <w:p>
      <w:r>
        <w:rPr>
          <w:b/>
          <w:i/>
        </w:rPr>
        <w:t xml:space="preserve">Why this step matters: </w:t>
      </w:r>
      <w:r>
        <w:rPr>
          <w:i/>
        </w:rPr>
        <w:t>Equipment bought without real collaboration between finance, engineering and the end-user is exactly how a hospital ends up with the wrong capacity for its actual needs — this record proves the decision was genuinely a joint one. NABH checks this as part of how a genuinely safe physical environment actually runs, not just what's written about it.</w:t>
      </w:r>
    </w:p>
    <w:p>
      <w:r>
        <w:t>1. Write a utility and engineering equipment plan (diesel generator capacity, chillers, boilers, lifts, and similar) matched to the hospital's actual services and its strategic plan, including realistic future needs — not just what's already installed.</w:t>
      </w:r>
    </w:p>
    <w:p>
      <w:r>
        <w:t>2. Involve the actual end-user, management, finance and engineering functions in equipment decisions, and keep a record showing that collaboration happened, not a single department deciding alone.</w:t>
      </w:r>
    </w:p>
    <w:p>
      <w:r>
        <w:t>3. Review the plan periodically and update it as services change. (Records 1–3)</w:t>
      </w:r>
    </w:p>
    <w:p>
      <w:pPr>
        <w:pStyle w:val="Heading2"/>
      </w:pPr>
      <w:r>
        <w:t>5.2 Equipment is inventoried, and proper logs are maintained as required</w:t>
      </w:r>
    </w:p>
    <w:p>
      <w:r>
        <w:rPr>
          <w:b/>
          <w:i/>
        </w:rPr>
        <w:t xml:space="preserve">Why this step matters: </w:t>
      </w:r>
      <w:r>
        <w:rPr>
          <w:i/>
        </w:rPr>
        <w:t>Equipment with no unique identity can't be tracked for maintenance, recalls, or replacement — this record proves every real item actually has one. NABH checks this as part of how a genuinely safe physical environment actually runs, not just what's written about it.</w:t>
      </w:r>
    </w:p>
    <w:p>
      <w:r>
        <w:t>1. Give every piece of utility/engineering equipment a unique identifier and keep one master inventory — an item nobody can uniquely identify can't be tracked for maintenance or accountability.</w:t>
      </w:r>
    </w:p>
    <w:p>
      <w:r>
        <w:t>2. File the quality-conformance, factory-test or installation certificate for each item where one exists.</w:t>
      </w:r>
    </w:p>
    <w:p>
      <w:r>
        <w:t>3. Periodically check the inventory itself for completeness — confirm there is no item in active use anywhere in the hospital without an identity in the log. (Records 4–6)</w:t>
      </w:r>
    </w:p>
    <w:p>
      <w:pPr>
        <w:pStyle w:val="Heading2"/>
      </w:pPr>
      <w:r>
        <w:t>5.3 The documented operational and maintenance (preventive and breakdown) plan is implemented.</w:t>
      </w:r>
    </w:p>
    <w:p>
      <w:r>
        <w:rPr>
          <w:b/>
          <w:i/>
        </w:rPr>
        <w:t xml:space="preserve">Why this step matters: </w:t>
      </w:r>
      <w:r>
        <w:rPr>
          <w:i/>
        </w:rPr>
        <w:t>A maintenance plan that exists only as a document, with no real preventive schedule being followed, is how equipment fails without warning — this record proves the plan is actually being carried out. This is a CORE requirement — NABH treats it as non-negotiable, not aspirational.</w:t>
      </w:r>
    </w:p>
    <w:p>
      <w:r>
        <w:t>1. Write one documented operational and maintenance plan covering both preventive maintenance and breakdown response for utility and engineering equipment, following the structured inspection-and-preventive-maintenance approach ECRI Institute sets out for equipment management programmes generally.</w:t>
      </w:r>
    </w:p>
    <w:p>
      <w:r>
        <w:t>2. Run the preventive-maintenance schedule against the critical-equipment list specifically, and log every completed maintenance visit.</w:t>
      </w:r>
    </w:p>
    <w:p>
      <w:r>
        <w:t>3. When a breakdown happens, record the actual response and confirm it matched what the written plan says should happen — a plan that's never checked against real breakdowns isn't proven to work. (Records 7–9)</w:t>
      </w:r>
    </w:p>
    <w:p>
      <w:r>
        <w:rPr>
          <w:b/>
          <w:i/>
          <w:sz w:val="18"/>
        </w:rPr>
        <w:t xml:space="preserve">Technical source(s) for these steps: </w:t>
      </w:r>
    </w:p>
    <w:p>
      <w:pPr>
        <w:pStyle w:val="ListParagraph"/>
      </w:pPr>
      <w:hyperlink r:id="rId9">
        <w:r>
          <w:rPr>
            <w:color w:val="0563C1"/>
            <w:u w:val="single"/>
          </w:rPr>
          <w:t>ECRI Institute — Health Devices Inspection and Preventive Maintenance guidance for medical/utility equipment management programmes.</w:t>
        </w:r>
      </w:hyperlink>
    </w:p>
    <w:p>
      <w:pPr>
        <w:pStyle w:val="Heading2"/>
      </w:pPr>
      <w:r>
        <w:t>5.4 Utility equipment, are periodically inspected and calibrated (wherever applicable) for their proper functioning.</w:t>
      </w:r>
    </w:p>
    <w:p>
      <w:r>
        <w:rPr>
          <w:b/>
          <w:i/>
        </w:rPr>
        <w:t xml:space="preserve">Why this step matters: </w:t>
      </w:r>
      <w:r>
        <w:rPr>
          <w:i/>
        </w:rPr>
        <w:t>An instrument that drifts out of calibration without anyone noticing gives a wrong reading with total confidence — this record is what proves it's still accurate. NABH checks this as part of how a genuinely safe physical environment actually runs, not just what's written about it.</w:t>
      </w:r>
    </w:p>
    <w:p>
      <w:r>
        <w:t>1. Set a calibration schedule for every utility instrument that needs it — steam-steriliser pressure gauges, medication-refrigerator temperature gauges, and similar — following manufacturer-defined intervals and ECRI Institute's equipment-management calibration discipline.</w:t>
      </w:r>
    </w:p>
    <w:p>
      <w:r>
        <w:t>2. Keep the calibration certificate for each item, with traceability to a recognised reference standard — a calibration with no traceability isn't a real calibration.</w:t>
      </w:r>
    </w:p>
    <w:p>
      <w:r>
        <w:t>3. Record whether each calibration was done in-house or outsourced, and by whom. (Records 10–12)</w:t>
      </w:r>
    </w:p>
    <w:p>
      <w:r>
        <w:rPr>
          <w:b/>
          <w:i/>
          <w:sz w:val="18"/>
        </w:rPr>
        <w:t xml:space="preserve">Technical source(s) for these steps: </w:t>
      </w:r>
    </w:p>
    <w:p>
      <w:pPr>
        <w:pStyle w:val="ListParagraph"/>
      </w:pPr>
      <w:hyperlink r:id="rId9">
        <w:r>
          <w:rPr>
            <w:color w:val="0563C1"/>
            <w:u w:val="single"/>
          </w:rPr>
          <w:t>ECRI Institute — Health Devices Inspection and Preventive Maintenance guidance for medical/utility equipment management programmes.</w:t>
        </w:r>
      </w:hyperlink>
    </w:p>
    <w:p>
      <w:pPr>
        <w:pStyle w:val="Heading2"/>
      </w:pPr>
      <w:r>
        <w:t>5.5 Competent personnel operate, inspect, test and maintain equipment and utility systems.</w:t>
      </w:r>
    </w:p>
    <w:p>
      <w:r>
        <w:rPr>
          <w:b/>
          <w:i/>
        </w:rPr>
        <w:t xml:space="preserve">Why this step matters: </w:t>
      </w:r>
      <w:r>
        <w:rPr>
          <w:i/>
        </w:rPr>
        <w:t>Staff can't be expected to operate or fix utility equipment safely if they were never actually shown how, or if no competent person is rostered for a given shift — this record is proof real people were trained and are actually on duty. NABH checks this as part of how a genuinely safe physical environment actually runs, not just what's written about it.</w:t>
      </w:r>
    </w:p>
    <w:p>
      <w:r>
        <w:t>1. Keep a competency or training record for every staff member who operates utility equipment — competence has to be demonstrated, not assumed from job title.</w:t>
      </w:r>
    </w:p>
    <w:p>
      <w:r>
        <w:t>2. Name a specific competent person on the roster for every shift, not just 'engineering department' generically.</w:t>
      </w:r>
    </w:p>
    <w:p>
      <w:r>
        <w:t>3. Escalate immediately if a shift is found with no named competent person — this is exactly the gap that turns a minor fault into a major one. (Records 13–15)</w:t>
      </w:r>
    </w:p>
    <w:p>
      <w:pPr>
        <w:pStyle w:val="Heading2"/>
      </w:pPr>
      <w:r>
        <w:t>5.6 Maintenance staff is contactable round the clock for emergency repairs</w:t>
      </w:r>
    </w:p>
    <w:p>
      <w:r>
        <w:rPr>
          <w:b/>
          <w:i/>
        </w:rPr>
        <w:t xml:space="preserve">Why this step matters: </w:t>
      </w:r>
      <w:r>
        <w:rPr>
          <w:i/>
        </w:rPr>
        <w:t>An escalation matrix nobody can actually reach at 2am is worthless the one night it's needed — this record proves the on-call system genuinely works, not just that a roster exists. NABH checks this as part of how a genuinely safe physical environment actually runs, not just what's written about it.</w:t>
      </w:r>
    </w:p>
    <w:p>
      <w:r>
        <w:t>1. Display an escalation matrix at the nursing station and in departments, naming exactly who to call for an engineering emergency, in what order.</w:t>
      </w:r>
    </w:p>
    <w:p>
      <w:r>
        <w:t>2. Keep an on-call roster for maintenance staff that actually covers all 24 hours, every day — not just business hours with a hope someone answers at night.</w:t>
      </w:r>
    </w:p>
    <w:p>
      <w:r>
        <w:t>3. Log the actual response time for night calls, so a slow-response pattern is visible, not just anecdotal. (Records 16–18)</w:t>
      </w:r>
    </w:p>
    <w:p>
      <w:pPr>
        <w:pStyle w:val="Heading2"/>
      </w:pPr>
      <w:r>
        <w:t>5.7 Downtime for critical equipment breakdowns is monitored from reporting to inspection and implementation of corrective actions.</w:t>
      </w:r>
    </w:p>
    <w:p>
      <w:r>
        <w:rPr>
          <w:b/>
          <w:i/>
        </w:rPr>
        <w:t xml:space="preserve">Why this step matters: </w:t>
      </w:r>
      <w:r>
        <w:rPr>
          <w:i/>
        </w:rPr>
        <w:t>Critical equipment down for longer than anyone realises, because nobody timed it, is exactly how a small fault becomes a patient-safety incident — this record makes the real duration visible. NABH checks this as part of how a genuinely safe physical environment actually runs, not just what's written about it.</w:t>
      </w:r>
    </w:p>
    <w:p>
      <w:r>
        <w:t>1. Log every critical-equipment complaint (diesel generator, lifts, UPS, fire-related systems, dialysis RO plant, water pumps) from the moment it's received, including who it was allotted to and when the user actually confirmed it was fixed — not just when the technician says it's fixed.</w:t>
      </w:r>
    </w:p>
    <w:p>
      <w:r>
        <w:t>2. Calculate and record the actual downtime duration — from complaint to user-ratified completion — for each incident.</w:t>
      </w:r>
    </w:p>
    <w:p>
      <w:r>
        <w:t>3. Review downtime trends against the critical-equipment list periodically, so a recurring problem with one machine is caught, not treated as isolated events. (Records 19–21)</w:t>
      </w:r>
    </w:p>
    <w:p>
      <w:pPr>
        <w:pStyle w:val="Heading2"/>
      </w:pPr>
      <w:r>
        <w:t>5.8 Written guidance supports equipment replacement, identification of unwanted material and disposal.</w:t>
      </w:r>
    </w:p>
    <w:p>
      <w:r>
        <w:rPr>
          <w:b/>
          <w:i/>
        </w:rPr>
        <w:t xml:space="preserve">Why this step matters: </w:t>
      </w:r>
      <w:r>
        <w:rPr>
          <w:i/>
        </w:rPr>
        <w:t>Equipment or material disposed of with no record is untraceable if something later goes wrong with how it was disposed of — this record closes that gap. NABH checks this as part of how a genuinely safe physical environment actually runs, not just what's written about it.</w:t>
      </w:r>
    </w:p>
    <w:p>
      <w:r>
        <w:t>1. Write guidance describing when equipment is due for replacement and how unwanted material is identified, following ECRI Institute's lifecycle-management approach to ageing equipment risk.</w:t>
      </w:r>
    </w:p>
    <w:p>
      <w:r>
        <w:t>2. Log every condemnation of utility/engineering equipment systematically — not as an informal decision with no paper trail.</w:t>
      </w:r>
    </w:p>
    <w:p>
      <w:r>
        <w:t>3. Dispose of condemned equipment following the Hazardous and Other Wastes Rules where the item is itself hazardous (e.g. contains mercury, refrigerant, or similar), and log the disposal. (Records 22–24)</w:t>
      </w:r>
    </w:p>
    <w:p>
      <w:r>
        <w:rPr>
          <w:b/>
          <w:i/>
          <w:sz w:val="18"/>
        </w:rPr>
        <w:t xml:space="preserve">Technical source(s) for these steps: </w:t>
      </w:r>
    </w:p>
    <w:p>
      <w:pPr>
        <w:pStyle w:val="ListParagraph"/>
      </w:pPr>
      <w:hyperlink r:id="rId9">
        <w:r>
          <w:rPr>
            <w:color w:val="0563C1"/>
            <w:u w:val="single"/>
          </w:rPr>
          <w:t>ECRI Institute — Health Devices Inspection and Preventive Maintenance guidance for medical/utility equipment management programmes.</w:t>
        </w:r>
      </w:hyperlink>
    </w:p>
    <w:p>
      <w:pPr>
        <w:pStyle w:val="ListParagraph"/>
      </w:pPr>
      <w:hyperlink r:id="rId10">
        <w:r>
          <w:rPr>
            <w:color w:val="0563C1"/>
            <w:u w:val="single"/>
          </w:rPr>
          <w:t>Ministry of Environment, Forest and Climate Change, Government of India (2016). Hazardous and Other Wastes (Management and Transboundary Movement) Rules, 2016 (as amended).</w:t>
        </w:r>
      </w:hyperlink>
    </w:p>
    <w:p>
      <w:pPr>
        <w:pStyle w:val="Heading1"/>
      </w:pPr>
      <w:r>
        <w:t>6. Records</w:t>
      </w:r>
    </w:p>
    <w:p>
      <w:r>
        <w:t>This SOP produces and maintains Records 1 through 24 (see the FMS.4 Records folder).</w:t>
      </w:r>
    </w:p>
    <w:p>
      <w:pPr>
        <w:pStyle w:val="Heading1"/>
      </w:pPr>
      <w:r>
        <w:t>7. Related Documents</w:t>
      </w:r>
    </w:p>
    <w:p>
      <w:pPr>
        <w:pStyle w:val="ListParagraph"/>
      </w:pPr>
      <w:r>
        <w:t>Policy on Facility, Engineering Support and Utility Systems (HCO/FMS/POL/04) — this policy</w:t>
      </w:r>
    </w:p>
    <w:p>
      <w:pPr>
        <w:pStyle w:val="ListParagraph"/>
      </w:pPr>
      <w:r>
        <w:t>Required Records — FMS.4 (see FMS.4 Records folder)</w:t>
      </w:r>
    </w:p>
    <w:p>
      <w:pPr>
        <w:pStyle w:val="Heading1"/>
      </w:pPr>
      <w:r>
        <w:t>8. Where This SOP's Requirements Come From (Verified Sources)</w:t>
      </w:r>
    </w:p>
    <w:p>
      <w:pPr>
        <w:pStyle w:val="ListParagraph"/>
      </w:pPr>
      <w:hyperlink r:id="rId11">
        <w:r>
          <w:rPr>
            <w:rStyle w:val="Hyperlink"/>
            <w:i/>
          </w:rPr>
          <w:t>National Accreditation Board for Hospitals and Healthcare Providers. (2025). NABH accreditation standards for hospitals (6th ed.), FMS.4. ISBN 978-81-965264-9-8. https://portal.nabh.co/images/Standards/NABH%20Hospital%20Accreditation%20Standard%206th%20Edition%20January%202025.pdf</w:t>
        </w:r>
      </w:hyperlink>
    </w:p>
    <w:p>
      <w:pPr>
        <w:pStyle w:val="Heading1"/>
      </w:pPr>
      <w:r>
        <w:t>9. Review</w:t>
      </w:r>
    </w:p>
    <w:p>
      <w:r>
        <w:t>This SOP is reviewed at least annually by the Quality Coordinator together with the Facility Manager, and immediately if an incident, audit or drill finds it isn't working as written.</w:t>
      </w:r>
    </w:p>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ecri.org/components/HDS/Pages/default.aspx" TargetMode="External"/><Relationship Id="rId10" Type="http://schemas.openxmlformats.org/officeDocument/2006/relationships/hyperlink" Target="https://clip.cpcb.gov.in/index.php/rule/the-hazardous/" TargetMode="External"/><Relationship Id="rId11" Type="http://schemas.openxmlformats.org/officeDocument/2006/relationships/hyperlink" Target="https://portal.nabh.co/images/Standards/NABH%20Hospital%20Accreditation%20Standard%206th%20Edition%20January%202025.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