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Meeting Information Needs</w:t>
      </w:r>
    </w:p>
    <w:p>
      <w:r>
        <w:t>«Hospital Name» — Supports IMS.1</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policy sets out how «Hospital Name» identifies the information needs of patients, visitors, staff, management, external agencies and the community; captures and disseminates those needs; acquires information management and technology commensurate with them; maintains IT and communication network infrastructure; ensures information resources are accurate; contributes to external databases; and works toward digital health technology. This policy does not cover data management processes, medical record content, or confidentiality and security of records — those are covered in other hospital policies. If you're new to this SOP, the short version is: follow the numbered steps below in order — they exist because skipping one of them is exactly how an incomplete, unverifiable or insecure medical record ends up costing the hospital and the patient when it matters most.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policy sets out how «Hospital Name» identifies the information needs of patients, visitors, staff, management, external agencies and the community; captures and disseminates those needs; acquires information management and technology commensurate with them; maintains IT and communication network infrastructure; ensures information resources are accurate; contributes to external databases; and works toward digital health technology. This policy does not cover data management processes, medical record content, or confidentiality and security of records — those are covered in other hospital policies.</w:t>
      </w:r>
    </w:p>
    <w:p>
      <w:pPr>
        <w:pStyle w:val="Heading1"/>
      </w:pPr>
      <w:r>
        <w:t>2. Scope</w:t>
      </w:r>
    </w:p>
    <w:p>
      <w:r>
        <w:t>This policy applies to the information needs of all stakeholders of «Hospital Name» — patients, visitors, staff, management, external agencies and the community.</w:t>
      </w:r>
    </w:p>
    <w:p>
      <w:pPr>
        <w:pStyle w:val="Heading1"/>
      </w:pPr>
      <w:r>
        <w:t>3. Responsibility</w:t>
      </w:r>
    </w:p>
    <w:p>
      <w:r>
        <w:t xml:space="preserve">Medical Records Officer / HIM In-Charge: owns the day-to-day running of this policy, keeps the required records current, and coordinates record review.</w:t>
      </w:r>
    </w:p>
    <w:p>
      <w:r>
        <w:t xml:space="preserve">IT In-Charge: owns the information systems, network maintenance, backup, security controls and licensing this policy requires.</w:t>
      </w:r>
    </w:p>
    <w:p>
      <w:r>
        <w:t xml:space="preserve">Medical Superintendent: escalation point for any unresolved gap, and approves retention, destruction and disclosure decisions requiring sign-off.</w:t>
      </w:r>
    </w:p>
    <w:p>
      <w:r>
        <w:t xml:space="preserve">Quality Coordinator: audits this policy periodically, checks records against the steps below, and flags gaps for corrective action.</w:t>
      </w:r>
    </w:p>
    <w:p>
      <w:pPr>
        <w:pStyle w:val="Heading1"/>
      </w:pPr>
      <w:r>
        <w:t>4. Plain-Language Glossary</w:t>
      </w:r>
    </w:p>
    <w:p>
      <w:r>
        <w:t>If a word below is unfamiliar, this is what it means in this SOP:</w:t>
      </w:r>
    </w:p>
    <w:p>
      <w:pPr>
        <w:pStyle w:val="ListParagraph"/>
      </w:pPr>
      <w:r>
        <w:rPr>
          <w:b/>
        </w:rPr>
        <w:t xml:space="preserve">EHR Standards: </w:t>
      </w:r>
      <w:r>
        <w:t>The Ministry of Health and Family Welfare's national technical standards that an Indian hospital's electronic health record system should follow.</w:t>
      </w:r>
    </w:p>
    <w:p>
      <w:pPr>
        <w:pStyle w:val="ListParagraph"/>
      </w:pPr>
      <w:r>
        <w:rPr>
          <w:b/>
        </w:rPr>
        <w:t xml:space="preserve">HvPI: </w:t>
      </w:r>
      <w:r>
        <w:t>The Haemovigilance Programme of India — the national system for tracking adverse events linked to blood transfusion.</w:t>
      </w:r>
    </w:p>
    <w:p>
      <w:pPr>
        <w:pStyle w:val="ListParagraph"/>
      </w:pPr>
      <w:r>
        <w:rPr>
          <w:b/>
        </w:rPr>
        <w:t xml:space="preserve">PvPI: </w:t>
      </w:r>
      <w:r>
        <w:t>The Pharmacovigilance Programme of India — the national system for tracking adverse drug reactions.</w:t>
      </w:r>
    </w:p>
    <w:p>
      <w:pPr>
        <w:pStyle w:val="ListParagraph"/>
      </w:pPr>
      <w:r>
        <w:rPr>
          <w:b/>
        </w:rPr>
        <w:t xml:space="preserve">MvPI: </w:t>
      </w:r>
      <w:r>
        <w:t>The Materiovigilance Programme of India — the national system for tracking adverse events linked to medical devices.</w:t>
      </w:r>
    </w:p>
    <w:p>
      <w:pPr>
        <w:pStyle w:val="Heading1"/>
      </w:pPr>
      <w:r>
        <w:t>5. Procedure</w:t>
      </w:r>
    </w:p>
    <w:p>
      <w:pPr>
        <w:pStyle w:val="Heading2"/>
      </w:pPr>
      <w:r>
        <w:t>5.1 Identifying information needs</w:t>
      </w:r>
    </w:p>
    <w:p>
      <w:r>
        <w:rPr>
          <w:b/>
          <w:i/>
        </w:rPr>
        <w:t xml:space="preserve">Why this step matters: </w:t>
      </w:r>
      <w:r>
        <w:rPr>
          <w:i/>
        </w:rPr>
        <w:t>If the hospital never systematically asks patients, visitors, staff, management and external agencies what information they actually need, it ends up guessing — and guessing means some of those needs go unmet until someone complains. This record is the proof a real, systematic method (feedback forms, patient calls, focus groups, benchmarking) was actually used, for every stakeholder group, not just the easy ones. This is a CORE requirement — NABH treats it as non-negotiable, not aspirational.</w:t>
      </w:r>
    </w:p>
    <w:p>
      <w:r>
        <w:t>1. The information needs of each stakeholder group — patients, visitors, staff, management, external agencies and the community — are identified through a systematic process such as feedback forms, patient calls, focus group interviews or benchmarking.</w:t>
      </w:r>
    </w:p>
    <w:p>
      <w:r>
        <w:t>2. Each identified need is documented against the stakeholder group it belongs to — for example OPD timings for patients, visiting hours for visitors, leave policy for staff, daily census for management, notifiable-disease data for external agencies, and new-service information for the community.</w:t>
      </w:r>
    </w:p>
    <w:p>
      <w:r>
        <w:t>3. This documented list is reviewed periodically so a genuinely new information need doesn't go unrecognised. (Records 1–2)</w:t>
      </w:r>
    </w:p>
    <w:p>
      <w:pPr>
        <w:pStyle w:val="Heading2"/>
      </w:pPr>
      <w:r>
        <w:t>5.2 Capturing and disseminating information needs</w:t>
      </w:r>
    </w:p>
    <w:p>
      <w:r>
        <w:rPr>
          <w:b/>
          <w:i/>
        </w:rPr>
        <w:t xml:space="preserve">Why this step matters: </w:t>
      </w:r>
      <w:r>
        <w:rPr>
          <w:i/>
        </w:rPr>
        <w:t>Identifying a need and then never actually delivering the information closes the loop on paper only. This record shows the need was captured through a defined, written method and actually reached the people who needed it — not left as a good intention. NABH checks this as part of how a genuinely reliable, safe medical record system is actually run, not just what's written about it.</w:t>
      </w:r>
    </w:p>
    <w:p>
      <w:r>
        <w:t>1. Written guidance covers how each identified information need is actually captured and/or disseminated, and is implemented — not left as a stated intention.</w:t>
      </w:r>
    </w:p>
    <w:p>
      <w:r>
        <w:t>2. The guidance specifies the frequency of data collection and names the person(s) responsible, by role.</w:t>
      </w:r>
    </w:p>
    <w:p>
      <w:r>
        <w:t>3. Dissemination channel matches the audience — a website, intranet, information booklet, display or signage for the public; a manual or electronic hospital information/management information system for management; the applicable statutory methodology for external agencies. (Records 3–4)</w:t>
      </w:r>
    </w:p>
    <w:p>
      <w:pPr>
        <w:pStyle w:val="Heading2"/>
      </w:pPr>
      <w:r>
        <w:t>5.3 Information management and technology acquisitions</w:t>
      </w:r>
    </w:p>
    <w:p>
      <w:r>
        <w:rPr>
          <w:b/>
          <w:i/>
        </w:rPr>
        <w:t xml:space="preserve">Why this step matters: </w:t>
      </w:r>
      <w:r>
        <w:rPr>
          <w:i/>
        </w:rPr>
        <w:t>Buying software or hardware that doesn't match what the hospital actually needs — now or as it grows — wastes money and leaves real information gaps unfilled. This record proves acquisitions were matched to a defined need, and that the software in use is properly licensed, not a compliance risk waiting to surface. NABH checks this as part of how a genuinely reliable, safe medical record system is actually run, not just what's written about it.</w:t>
      </w:r>
    </w:p>
    <w:p>
      <w:r>
        <w:t>1. Software and hardware needs are defined against current and future information needs, not bought reactively.</w:t>
      </w:r>
    </w:p>
    <w:p>
      <w:r>
        <w:t>2. Where electronic medical records are used, national EHR standards are referred to as the technical baseline — see the technical source below.</w:t>
      </w:r>
    </w:p>
    <w:p>
      <w:r>
        <w:t>3. Every software product in use is confirmed to be under a valid, current licence — an unlicensed installation is treated as a compliance gap, not a minor oversight. (Records 5–6)</w:t>
      </w:r>
    </w:p>
    <w:p>
      <w:r>
        <w:rPr>
          <w:b/>
          <w:i/>
          <w:sz w:val="18"/>
        </w:rPr>
        <w:t xml:space="preserve">Technical source(s) for these steps: </w:t>
      </w:r>
    </w:p>
    <w:p>
      <w:pPr>
        <w:pStyle w:val="ListParagraph"/>
      </w:pPr>
      <w:hyperlink r:id="rId9">
        <w:r>
          <w:rPr>
            <w:color w:val="0563C1"/>
            <w:u w:val="single"/>
          </w:rPr>
          <w:t>Ministry of Health and Family Welfare, Government of India. (2016). Electronic Health Record (EHR) Standards for India.</w:t>
        </w:r>
      </w:hyperlink>
    </w:p>
    <w:p>
      <w:pPr>
        <w:pStyle w:val="Heading2"/>
      </w:pPr>
      <w:r>
        <w:t>5.4 IT and communication network maintenance</w:t>
      </w:r>
    </w:p>
    <w:p>
      <w:r>
        <w:rPr>
          <w:b/>
          <w:i/>
        </w:rPr>
        <w:t xml:space="preserve">Why this step matters: </w:t>
      </w:r>
      <w:r>
        <w:rPr>
          <w:i/>
        </w:rPr>
        <w:t>An IT network that's never proactively maintained doesn't fail gracefully — it fails during a clinical emergency, when a nurse call system or telephone exchange is needed most. This record proves maintenance actually happened on schedule, including the fire-protection plan for servers, not just that a plan exists in a folder. NABH checks this as part of how a genuinely reliable, safe medical record system is actually run, not just what's written about it.</w:t>
      </w:r>
    </w:p>
    <w:p>
      <w:r>
        <w:t>1. A maintenance plan covers information technology and the communication network, following manufacturer recommendations, with regular inspection and timely repair.</w:t>
      </w:r>
    </w:p>
    <w:p>
      <w:r>
        <w:t>2. The plan includes a specific fire-protection element covering data server units, the telephone exchange unit, computers, telephone lines and the nurse-call system — see the technical source below.</w:t>
      </w:r>
    </w:p>
    <w:p>
      <w:r>
        <w:t>3. Telephone and printer units in active clinical use are prioritised for timely repair, since a delay there directly slows patient care. (Records 7–8)</w:t>
      </w:r>
    </w:p>
    <w:p>
      <w:r>
        <w:rPr>
          <w:b/>
          <w:i/>
          <w:sz w:val="18"/>
        </w:rPr>
        <w:t xml:space="preserve">Technical source(s) for these steps: </w:t>
      </w:r>
    </w:p>
    <w:p>
      <w:pPr>
        <w:pStyle w:val="ListParagraph"/>
      </w:pPr>
      <w:hyperlink r:id="rId10">
        <w:r>
          <w:rPr>
            <w:color w:val="0563C1"/>
            <w:u w:val="single"/>
          </w:rPr>
          <w:t>National Fire Protection Association. NFPA 75 — Standard for the Fire Protection of Information Technology Equipment.</w:t>
        </w:r>
      </w:hyperlink>
    </w:p>
    <w:p>
      <w:pPr>
        <w:pStyle w:val="ListParagraph"/>
      </w:pPr>
      <w:r>
        <w:t>Bureau of Indian Standards — National Building Code of India 2016, Part 4: Fire and Life Safety (the applicable Indian reference alongside NFPA 75 for IT-equipment fire protection).</w:t>
      </w:r>
    </w:p>
    <w:p>
      <w:pPr>
        <w:pStyle w:val="Heading2"/>
      </w:pPr>
      <w:r>
        <w:t>5.5 Contingency planning</w:t>
      </w:r>
    </w:p>
    <w:p>
      <w:r>
        <w:rPr>
          <w:b/>
          <w:i/>
        </w:rPr>
        <w:t xml:space="preserve">Why this step matters: </w:t>
      </w:r>
      <w:r>
        <w:rPr>
          <w:i/>
        </w:rPr>
        <w:t>When the Hospital Information System goes down — and every system eventually does — a hospital with no contingency plan stops capturing patient information at the exact moment care is happening. This record proves a real continuity plan exists and that downtime is actually being monitored, so a system failure never becomes a documentation gap. NABH checks this as part of how a genuinely reliable, safe medical record system is actually run, not just what's written about it.</w:t>
      </w:r>
    </w:p>
    <w:p>
      <w:r>
        <w:t>1. A written plan ensures the capture, integration and dissemination of information continues even if the electronic hospital information system goes down — see the technical source below for the continuity-planning discipline this follows.</w:t>
      </w:r>
    </w:p>
    <w:p>
      <w:r>
        <w:t>2. Downtime of the system is actively monitored and logged, not just noticed informally by frustrated staff.</w:t>
      </w:r>
    </w:p>
    <w:p>
      <w:r>
        <w:t>3. The plan is tested at a fixed interval to confirm it actually works when the system is genuinely down, not only on paper. (Records 9–10)</w:t>
      </w:r>
    </w:p>
    <w:p>
      <w:r>
        <w:rPr>
          <w:b/>
          <w:i/>
          <w:sz w:val="18"/>
        </w:rPr>
        <w:t xml:space="preserve">Technical source(s) for these steps: </w:t>
      </w:r>
    </w:p>
    <w:p>
      <w:pPr>
        <w:pStyle w:val="ListParagraph"/>
      </w:pPr>
      <w:hyperlink r:id="rId11">
        <w:r>
          <w:rPr>
            <w:color w:val="0563C1"/>
            <w:u w:val="single"/>
          </w:rPr>
          <w:t>International Organization for Standardization. ISO 22301:2019 — Business Continuity Management Systems.</w:t>
        </w:r>
      </w:hyperlink>
    </w:p>
    <w:p>
      <w:pPr>
        <w:pStyle w:val="Heading2"/>
      </w:pPr>
      <w:r>
        <w:t>5.6 Accuracy of information resources</w:t>
      </w:r>
    </w:p>
    <w:p>
      <w:r>
        <w:rPr>
          <w:b/>
          <w:i/>
        </w:rPr>
        <w:t xml:space="preserve">Why this step matters: </w:t>
      </w:r>
      <w:r>
        <w:rPr>
          <w:i/>
        </w:rPr>
        <w:t>A brochure, website or leaflet with outdated or wrong information actively misleads patients and staff — it's worse than no information at all. This record proves the resource was checked by someone who actually knows the subject, and that real feedback was used to catch what a one-time review misses. NABH checks this as part of how a genuinely reliable, safe medical record system is actually run, not just what's written about it.</w:t>
      </w:r>
    </w:p>
    <w:p>
      <w:r>
        <w:t>1. Every information resource — website, brochure, newsletter, flyer, educational material — is prepared and/or reviewed by a subject expert before release.</w:t>
      </w:r>
    </w:p>
    <w:p>
      <w:r>
        <w:t>2. Feedback and complaints about published information are actively monitored, not just collected, to confirm stakeholder requirements are actually being met.</w:t>
      </w:r>
    </w:p>
    <w:p>
      <w:r>
        <w:t>3. An inaccuracy found is corrected on all channels it appears on, not just the one it was reported through. (Records 11–12)</w:t>
      </w:r>
    </w:p>
    <w:p>
      <w:pPr>
        <w:pStyle w:val="Heading2"/>
      </w:pPr>
      <w:r>
        <w:t>5.7 Contribution to external databases</w:t>
      </w:r>
    </w:p>
    <w:p>
      <w:r>
        <w:rPr>
          <w:b/>
          <w:i/>
        </w:rPr>
        <w:t xml:space="preserve">Why this step matters: </w:t>
      </w:r>
      <w:r>
        <w:rPr>
          <w:i/>
        </w:rPr>
        <w:t>Notifiable diseases, birth and death statistics, and national vigilance programmes (Haemovigilance, Pharmacovigilance, Materiovigilance) exist because a single hospital's data, added to everyone else's, is how a country catches an outbreak or an unsafe drug or device early. A hospital that doesn't actually submit its share breaks that surveillance chain — this record proves the submission genuinely happened, on time, in the right format. NABH checks this as part of how a genuinely reliable, safe medical record system is actually run, not just what's written about it.</w:t>
      </w:r>
    </w:p>
    <w:p>
      <w:r>
        <w:t>1. Relevant information — for example birth and death statistics and notifiable diseases — is sent to the concerned statutory authority at the required frequency and in the required format, identified against applicable local, state and national law.</w:t>
      </w:r>
    </w:p>
    <w:p>
      <w:r>
        <w:t>2. The hospital contributes to Haemovigilance (HvPI), Pharmacovigilance (PvPI) and Materiovigilance (MvPI) national programmes where applicable — see the technical sources below.</w:t>
      </w:r>
    </w:p>
    <w:p>
      <w:r>
        <w:t>3. A missed statutory submission is logged and escalated, not silently carried into the next reporting cycle. (Records 13–14)</w:t>
      </w:r>
    </w:p>
    <w:p>
      <w:r>
        <w:rPr>
          <w:b/>
          <w:i/>
          <w:sz w:val="18"/>
        </w:rPr>
        <w:t xml:space="preserve">Technical source(s) for these steps: </w:t>
      </w:r>
    </w:p>
    <w:p>
      <w:pPr>
        <w:pStyle w:val="ListParagraph"/>
      </w:pPr>
      <w:hyperlink r:id="rId12">
        <w:r>
          <w:rPr>
            <w:color w:val="0563C1"/>
            <w:u w:val="single"/>
          </w:rPr>
          <w:t>National Institute of Biologicals, Government of India. Haemovigilance Programme of India (HvPI).</w:t>
        </w:r>
      </w:hyperlink>
    </w:p>
    <w:p>
      <w:pPr>
        <w:pStyle w:val="ListParagraph"/>
      </w:pPr>
      <w:hyperlink r:id="rId13">
        <w:r>
          <w:rPr>
            <w:color w:val="0563C1"/>
            <w:u w:val="single"/>
          </w:rPr>
          <w:t>Indian Pharmacopoeia Commission. Pharmacovigilance Programme of India (PvPI) — ADR Reporting.</w:t>
        </w:r>
      </w:hyperlink>
    </w:p>
    <w:p>
      <w:pPr>
        <w:pStyle w:val="ListParagraph"/>
      </w:pPr>
      <w:hyperlink r:id="rId14">
        <w:r>
          <w:rPr>
            <w:color w:val="0563C1"/>
            <w:u w:val="single"/>
          </w:rPr>
          <w:t>Indian Pharmacopoeia Commission. Materiovigilance Programme of India (MvPI) — Guidance Document.</w:t>
        </w:r>
      </w:hyperlink>
    </w:p>
    <w:p>
      <w:pPr>
        <w:pStyle w:val="Heading2"/>
      </w:pPr>
      <w:r>
        <w:t>5.8 Digital health technology</w:t>
      </w:r>
    </w:p>
    <w:p>
      <w:r>
        <w:rPr>
          <w:b/>
          <w:i/>
        </w:rPr>
        <w:t xml:space="preserve">Why this step matters: </w:t>
      </w:r>
      <w:r>
        <w:rPr>
          <w:i/>
        </w:rPr>
        <w:t>Digital health features like bar-code medication administration or clinical decision support only improve patient safety if they're actually implemented and used, not just purchased. This record is the evidence real effort and real adoption happened, not a claim on a brochure. NABH checks this as part of how a genuinely reliable, safe medical record system is actually run, not just what's written about it.</w:t>
      </w:r>
    </w:p>
    <w:p>
      <w:r>
        <w:t>1. The hospital identifies where digital health technology can genuinely improve operational efficiency, patient safety and patient experience — for example registration, billing, pharmacy, laboratory, imaging and case-record software.</w:t>
      </w:r>
    </w:p>
    <w:p>
      <w:r>
        <w:t>2. Where an electronic health system is used, patient-safety-enhancing features are actively considered — for example computerised physician order entry, clinical decision support, electronic hand-off tools, bar-code medication administration, and electronic incident reporting — see the technical source below for the national standards baseline this should follow.</w:t>
      </w:r>
    </w:p>
    <w:p>
      <w:r>
        <w:t>3. Adoption decisions are documented, including why a feature was or wasn't implemented, so the decision can be revisited as technology or resources change. (Records 15–16)</w:t>
      </w:r>
    </w:p>
    <w:p>
      <w:r>
        <w:rPr>
          <w:b/>
          <w:i/>
          <w:sz w:val="18"/>
        </w:rPr>
        <w:t xml:space="preserve">Technical source(s) for these steps: </w:t>
      </w:r>
    </w:p>
    <w:p>
      <w:pPr>
        <w:pStyle w:val="ListParagraph"/>
      </w:pPr>
      <w:hyperlink r:id="rId9">
        <w:r>
          <w:rPr>
            <w:color w:val="0563C1"/>
            <w:u w:val="single"/>
          </w:rPr>
          <w:t>Ministry of Health and Family Welfare, Government of India. (2016). Electronic Health Record (EHR) Standards for India.</w:t>
        </w:r>
      </w:hyperlink>
    </w:p>
    <w:p>
      <w:pPr>
        <w:pStyle w:val="Heading1"/>
      </w:pPr>
      <w:r>
        <w:t>6. Records</w:t>
      </w:r>
    </w:p>
    <w:p>
      <w:r>
        <w:t>This SOP produces and maintains Records 1 through 16 (see the IMS.1 Records folder).</w:t>
      </w:r>
    </w:p>
    <w:p>
      <w:pPr>
        <w:pStyle w:val="Heading1"/>
      </w:pPr>
      <w:r>
        <w:t>7. Related Documents</w:t>
      </w:r>
    </w:p>
    <w:p>
      <w:pPr>
        <w:pStyle w:val="ListParagraph"/>
      </w:pPr>
      <w:r>
        <w:t>Policy on Meeting Information Needs (HCO/IMS/POL/01) — this policy</w:t>
      </w:r>
    </w:p>
    <w:p>
      <w:pPr>
        <w:pStyle w:val="ListParagraph"/>
      </w:pPr>
      <w:r>
        <w:t>Required Records — IMS.1 (see IMS.1 Records folder)</w:t>
      </w:r>
    </w:p>
    <w:p>
      <w:pPr>
        <w:pStyle w:val="Heading1"/>
      </w:pPr>
      <w:r>
        <w:t>8. Where This SOP's Requirements Come From (Verified Sources)</w:t>
      </w:r>
    </w:p>
    <w:p>
      <w:pPr>
        <w:pStyle w:val="ListParagraph"/>
      </w:pPr>
      <w:hyperlink r:id="rId15">
        <w:r>
          <w:rPr>
            <w:rStyle w:val="Hyperlink"/>
            <w:i/>
          </w:rPr>
          <w:t>National Accreditation Board for Hospitals and Healthcare Providers. (2025). NABH accreditation standards for hospitals (6th ed.), IMS.1. ISBN 978-81-965264-9-8. https://portal.nabh.co/images/Standards/NABH%20Hospital%20Accreditation%20Standard%206th%20Edition%20January%202025.pdf</w:t>
        </w:r>
      </w:hyperlink>
    </w:p>
    <w:p>
      <w:pPr>
        <w:pStyle w:val="Heading1"/>
      </w:pPr>
      <w:r>
        <w:t>9. Review</w:t>
      </w:r>
    </w:p>
    <w:p>
      <w:r>
        <w:t>This SOP is reviewed at least annually by the Quality Coordinator together with the Medical Records Officer and IT In-Charge, and immediately if an incident, audit or record-review finding shows it isn't working as written.</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ohfw.gov.in/documents/electronic-health-record-ehr-standards-india-2016" TargetMode="External"/><Relationship Id="rId10" Type="http://schemas.openxmlformats.org/officeDocument/2006/relationships/hyperlink" Target="https://www.nfpa.org/product/nfpa-75-standard/p0075code" TargetMode="External"/><Relationship Id="rId11" Type="http://schemas.openxmlformats.org/officeDocument/2006/relationships/hyperlink" Target="https://www.iso.org/standard/75106.html" TargetMode="External"/><Relationship Id="rId12" Type="http://schemas.openxmlformats.org/officeDocument/2006/relationships/hyperlink" Target="https://www.nib.gov.in/haemovigilance/hvpi_website/hvpi_index.html" TargetMode="External"/><Relationship Id="rId13" Type="http://schemas.openxmlformats.org/officeDocument/2006/relationships/hyperlink" Target="https://www.ipc.gov.in/pvpi/adr-reporting.html" TargetMode="External"/><Relationship Id="rId14" Type="http://schemas.openxmlformats.org/officeDocument/2006/relationships/hyperlink" Target="https://ipc.gov.in/images/Guidance_Document_MvPI.pdf" TargetMode="External"/><Relationship Id="rId15" Type="http://schemas.openxmlformats.org/officeDocument/2006/relationships/hyperlink" Target="https://portal.nabh.co/images/Standards/NABH%20Hospital%20Accreditation%20Standard%206th%20Edition%20January%20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