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the Complete and Accurate Medical Record</w:t>
      </w:r>
    </w:p>
    <w:p>
      <w:r>
        <w:t>«Hospital Name» — Supports IMS.3</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sets out how «Hospital Name» assigns a unique identifier to the medical record, identifies and documents its contents, keeps it complete and chronological, restricts entries to authorised staff, ensures entries are signed/dated/timed, keeps the author of each entry identifiable, and uses only authorised abbreviations. This policy does not cover continuity-of-care content of the record, confidentiality and security of records, or document retention — those are covered in other hospital policies. If you're new to this SOP, the short version is: follow the numbered steps below in order — they exist because skipping one of them is exactly how an incomplete, unverifiable or insecure medical record ends up costing the hospital and the patient when it matters most.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sets out how «Hospital Name» assigns a unique identifier to the medical record, identifies and documents its contents, keeps it complete and chronological, restricts entries to authorised staff, ensures entries are signed/dated/timed, keeps the author of each entry identifiable, and uses only authorised abbreviations. This policy does not cover continuity-of-care content of the record, confidentiality and security of records, or document retention — those are covered in other hospital policies.</w:t>
      </w:r>
    </w:p>
    <w:p>
      <w:pPr>
        <w:pStyle w:val="Heading1"/>
      </w:pPr>
      <w:r>
        <w:t>2. Scope</w:t>
      </w:r>
    </w:p>
    <w:p>
      <w:r>
        <w:t>This policy applies to the medical record of every patient cared for at «Hospital Name», whether maintained physically, electronically, or as a mix of both.</w:t>
      </w:r>
    </w:p>
    <w:p>
      <w:pPr>
        <w:pStyle w:val="Heading1"/>
      </w:pPr>
      <w:r>
        <w:t>3. Responsibility</w:t>
      </w:r>
    </w:p>
    <w:p>
      <w:r>
        <w:t xml:space="preserve">Medical Records Officer / HIM In-Charge: </w:t>
      </w:r>
      <w:r>
        <w:t>owns the day-to-day running of this policy, keeps the required records current, and coordinates record review.</w:t>
      </w:r>
    </w:p>
    <w:p>
      <w:r>
        <w:t xml:space="preserve">IT In-Charge: </w:t>
      </w:r>
      <w:r>
        <w:t>owns the information systems, network maintenance, backup, security controls and licensing this policy requires.</w:t>
      </w:r>
    </w:p>
    <w:p>
      <w:r>
        <w:t xml:space="preserve">Medical Superintendent: </w:t>
      </w:r>
      <w:r>
        <w:t>escalation point for any unresolved gap, and approves retention, destruction and disclosure decisions requiring sign-off.</w:t>
      </w:r>
    </w:p>
    <w:p>
      <w:r>
        <w:t xml:space="preserve">Quality Coordinator: </w:t>
      </w:r>
      <w:r>
        <w:t>audits this policy periodically, checks records against the steps below, and flags gaps for corrective action.</w:t>
      </w:r>
    </w:p>
    <w:p>
      <w:pPr>
        <w:pStyle w:val="Heading1"/>
      </w:pPr>
      <w:r>
        <w:t>4. Plain-Language Glossary</w:t>
      </w:r>
    </w:p>
    <w:p>
      <w:r>
        <w:t>If a word below is unfamiliar, this is what it means in this SOP:</w:t>
      </w:r>
    </w:p>
    <w:p>
      <w:pPr>
        <w:pStyle w:val="ListParagraph"/>
      </w:pPr>
      <w:r>
        <w:rPr>
          <w:b/>
        </w:rPr>
        <w:t xml:space="preserve">Medico-legal case (MLC): </w:t>
      </w:r>
      <w:r>
        <w:t>A case that, because of how the injury or condition occurred, carries a legal as well as a clinical dimension and requires certain mandatory information to be recorded.</w:t>
      </w:r>
    </w:p>
    <w:p>
      <w:pPr>
        <w:pStyle w:val="Heading1"/>
      </w:pPr>
      <w:r>
        <w:t>5. Procedure</w:t>
      </w:r>
    </w:p>
    <w:p>
      <w:pPr>
        <w:pStyle w:val="Heading2"/>
      </w:pPr>
      <w:r>
        <w:t>5.1 Unique identifier</w:t>
      </w:r>
    </w:p>
    <w:p>
      <w:r>
        <w:rPr>
          <w:b/>
          <w:i/>
        </w:rPr>
        <w:t xml:space="preserve">Why this step matters: </w:t>
      </w:r>
      <w:r>
        <w:rPr>
          <w:i/>
        </w:rPr>
        <w:t>Two patients' records mixed up because of a missing or duplicated identifier is one of the most basic and dangerous errors a hospital can make. This record proves every medical record — including on digital media — carries one unique number, and that every entry for that patient is actually traceable back to it. This is a CORE requirement — NABH treats it as non-negotiable, not aspirational.</w:t>
      </w:r>
    </w:p>
    <w:p>
      <w:r>
        <w:t>1. Every medical record carries a unique identifier number, and every sheet within that record — including sheets on digital media — carries the same identifier.</w:t>
      </w:r>
    </w:p>
    <w:p>
      <w:r>
        <w:t>2. For electronic records, all entries under one unique identifier are held in one place and/or are traceable back to that number from wherever they are stored. (Records 1–2)</w:t>
      </w:r>
    </w:p>
    <w:p>
      <w:pPr>
        <w:pStyle w:val="Heading2"/>
      </w:pPr>
      <w:r>
        <w:t>5.2 Contents of the medical record</w:t>
      </w:r>
    </w:p>
    <w:p>
      <w:r>
        <w:rPr>
          <w:b/>
          <w:i/>
        </w:rPr>
        <w:t xml:space="preserve">Why this step matters: </w:t>
      </w:r>
      <w:r>
        <w:rPr>
          <w:i/>
        </w:rPr>
        <w:t>If the hospital hasn't written down exactly which documents make up a complete medical record, staff fill files inconsistently and nobody can tell later whether something is genuinely missing or was simply never required. This record proves the exact list of document types was defined and is actually followed, including how physical and electronic components link up. NABH checks this as part of how a genuinely reliable, safe medical record system is actually run, not just what's written about it.</w:t>
      </w:r>
    </w:p>
    <w:p>
      <w:r>
        <w:t>1. The hospital defines exactly which documents form part of the medical record — for example admission orders, face sheet, referrals, transfer records, lab and imaging results, discharge summary, doctor's order sheet, TPR chart, consent forms, nursing assessments and care plans, dietary assessments and physiotherapy assessments — and adheres to that defined list.</w:t>
      </w:r>
    </w:p>
    <w:p>
      <w:r>
        <w:t>2. Where the record is a mix of formats (hand-written, typed, printed, electronic), appropriate linkages are maintained between the formats so nothing is orphaned.</w:t>
      </w:r>
    </w:p>
    <w:p>
      <w:r>
        <w:t>3. Where electronic medical records are used, the hospital defines which specific documents remain in physical format and why. (Records 3–4)</w:t>
      </w:r>
    </w:p>
    <w:p>
      <w:pPr>
        <w:pStyle w:val="Heading2"/>
      </w:pPr>
      <w:r>
        <w:t>5.3 Complete, chronological record</w:t>
      </w:r>
    </w:p>
    <w:p>
      <w:r>
        <w:rPr>
          <w:b/>
          <w:i/>
        </w:rPr>
        <w:t xml:space="preserve">Why this step matters: </w:t>
      </w:r>
      <w:r>
        <w:rPr>
          <w:i/>
        </w:rPr>
        <w:t>A file with sheets out of order, gaps with no explanation, or a medico-legal case missing mandatory details isn't just untidy — it becomes unusable and legally indefensible exactly when it matters most, in a dispute or a court case. This record proves real files were actually checked for sequential, chronological, complete filing, not assumed to be fine. This is a CORE requirement — NABH treats it as non-negotiable, not aspirational.</w:t>
      </w:r>
    </w:p>
    <w:p>
      <w:r>
        <w:t>1. All identified sheets are filed in sequential order, and entries within each component are filed in chronological order.</w:t>
      </w:r>
    </w:p>
    <w:p>
      <w:r>
        <w:t>2. Every medico-legal case record contains the mandatory information required for that case type — checked, not assumed present.</w:t>
      </w:r>
    </w:p>
    <w:p>
      <w:r>
        <w:t>3. Where a sheet is genuinely missing, a note to that effect is placed in the record rather than the gap being left unexplained.</w:t>
      </w:r>
    </w:p>
    <w:p>
      <w:r>
        <w:t>4. Pages in the medical record are numbered wherever practicable. (Records 5–6)</w:t>
      </w:r>
    </w:p>
    <w:p>
      <w:pPr>
        <w:pStyle w:val="Heading2"/>
      </w:pPr>
      <w:r>
        <w:t>5.4 Authorised entries</w:t>
      </w:r>
    </w:p>
    <w:p>
      <w:r>
        <w:rPr>
          <w:b/>
          <w:i/>
        </w:rPr>
        <w:t xml:space="preserve">Why this step matters: </w:t>
      </w:r>
      <w:r>
        <w:rPr>
          <w:i/>
        </w:rPr>
        <w:t>If anyone can write anything into a medical record regardless of their role, accountability for clinical decisions disappears. This record proves the hospital has defined, in writing, exactly which staff category may make which kind of entry, and that real entries were actually checked against that rule. NABH checks this as part of how a genuinely reliable, safe medical record system is actually run, not just what's written about it.</w:t>
      </w:r>
    </w:p>
    <w:p>
      <w:r>
        <w:t>1. Written guidance names who is authorised to make each type of entry — for example medication orders by doctors, the medication administration chart by nurses, nutritional assessment by dieticians.</w:t>
      </w:r>
    </w:p>
    <w:p>
      <w:r>
        <w:t>2. This authorisation is applied uniformly across the organisation, even where different staff categories are authorised for different entry types in different departments.</w:t>
      </w:r>
    </w:p>
    <w:p>
      <w:r>
        <w:t>3. An entry made by someone outside their authorised category is treated as a documentation deficiency and is corrected through the defined correction process, not just left as is. (Records 7–8)</w:t>
      </w:r>
    </w:p>
    <w:p>
      <w:pPr>
        <w:pStyle w:val="Heading2"/>
      </w:pPr>
      <w:r>
        <w:t>5.5 Timing of entries</w:t>
      </w:r>
    </w:p>
    <w:p>
      <w:r>
        <w:rPr>
          <w:b/>
          <w:i/>
        </w:rPr>
        <w:t xml:space="preserve">Why this step matters: </w:t>
      </w:r>
      <w:r>
        <w:rPr>
          <w:i/>
        </w:rPr>
        <w:t>An entry written days after the event it describes is unreliable — memory fades and details get reconstructed rather than recorded. This record proves entries are actually being made within one hour of the assessment or procedure, as required, and not backfilled later. NABH checks this as part of how a genuinely reliable, safe medical record system is actually run, not just what's written about it.</w:t>
      </w:r>
    </w:p>
    <w:p>
      <w:r>
        <w:t>1. Entries are documented immediately, and in any case no later than one hour after completion of the assessment or procedure they describe.</w:t>
      </w:r>
    </w:p>
    <w:p>
      <w:r>
        <w:t>2. For records on electronic media, the date and time are generated automatically by the system wherever the system supports it, removing reliance on manual entry. (Records 9–10)</w:t>
      </w:r>
    </w:p>
    <w:p>
      <w:pPr>
        <w:pStyle w:val="Heading2"/>
      </w:pPr>
      <w:r>
        <w:t>5.6 Identifying the author</w:t>
      </w:r>
    </w:p>
    <w:p>
      <w:r>
        <w:rPr>
          <w:b/>
          <w:i/>
        </w:rPr>
        <w:t xml:space="preserve">Why this step matters: </w:t>
      </w:r>
      <w:r>
        <w:rPr>
          <w:i/>
        </w:rPr>
        <w:t>An entry nobody can trace to a specific person can't be relied on in a clinical handover or defended in an inquiry. This record proves the hospital can actually identify who wrote every entry — by name, code, or a verifiable e-signature — not just that a policy says it should be possible. NABH checks this as part of how a genuinely reliable, safe medical record system is actually run, not just what's written about it.</w:t>
      </w:r>
    </w:p>
    <w:p>
      <w:r>
        <w:t>1. Every entry's author is identifiable — by full name, employee code number, a stamp, or an authorised e-signature meeting the statutory requirement for electronic records — see the technical source below.</w:t>
      </w:r>
    </w:p>
    <w:p>
      <w:r>
        <w:t>2. Traceability is achieved consistently across the hospital by one defined method: a name against every entry, a master signature list held in the record, or an employee code against every entry — matching the authorisation record from Section 5.4. (Records 11–12)</w:t>
      </w:r>
    </w:p>
    <w:p>
      <w:r>
        <w:rPr>
          <w:b/>
          <w:i/>
          <w:sz w:val="18"/>
        </w:rPr>
        <w:t xml:space="preserve">Technical source(s) for these steps: </w:t>
      </w:r>
    </w:p>
    <w:p>
      <w:pPr>
        <w:pStyle w:val="ListParagraph"/>
      </w:pPr>
      <w:hyperlink r:id="rId9">
        <w:r>
          <w:rPr>
            <w:color w:val="0563C1"/>
            <w:u w:val="single"/>
          </w:rPr>
          <w:t>Government of India. (2000). The Information Technology Act, 2000.</w:t>
        </w:r>
      </w:hyperlink>
    </w:p>
    <w:p>
      <w:pPr>
        <w:pStyle w:val="Heading2"/>
      </w:pPr>
      <w:r>
        <w:t>5.7 Authorised abbreviations</w:t>
      </w:r>
    </w:p>
    <w:p>
      <w:r>
        <w:rPr>
          <w:b/>
          <w:i/>
        </w:rPr>
        <w:t xml:space="preserve">Why this step matters: </w:t>
      </w:r>
      <w:r>
        <w:rPr>
          <w:i/>
        </w:rPr>
        <w:t>An unapproved or ambiguous abbreviation in a medication order is a well-documented cause of drug errors — different readers guess different meanings. This record proves only a standardised, approved list is actually in use, and that dangerous error-prone abbreviations are kept out of medication entries specifically. NABH checks this as part of how a genuinely reliable, safe medical record system is actually run, not just what's written about it.</w:t>
      </w:r>
    </w:p>
    <w:p>
      <w:r>
        <w:t>1. Where abbreviations are used in the medical record, only a standardised, pre-approved list is used throughout the organisation — an abbreviation not on the list is not used, however common it seems locally.</w:t>
      </w:r>
    </w:p>
    <w:p>
      <w:r>
        <w:t>2. Error-prone abbreviations are specifically excluded from use for medications — see the technical source below for the reference list this exclusion is based on. (Records 13–14)</w:t>
      </w:r>
    </w:p>
    <w:p>
      <w:r>
        <w:rPr>
          <w:b/>
          <w:i/>
          <w:sz w:val="18"/>
        </w:rPr>
        <w:t xml:space="preserve">Technical source(s) for these steps: </w:t>
      </w:r>
    </w:p>
    <w:p>
      <w:pPr>
        <w:pStyle w:val="ListParagraph"/>
      </w:pPr>
      <w:hyperlink r:id="rId10">
        <w:r>
          <w:rPr>
            <w:color w:val="0563C1"/>
            <w:u w:val="single"/>
          </w:rPr>
          <w:t>Institute for Safe Medication Practices. (2024). ISMP List of Error-Prone Abbreviations, Symbols, and Dose Designations.</w:t>
        </w:r>
      </w:hyperlink>
    </w:p>
    <w:p>
      <w:pPr>
        <w:pStyle w:val="Heading1"/>
      </w:pPr>
      <w:r>
        <w:t>6. Records</w:t>
      </w:r>
    </w:p>
    <w:p>
      <w:r>
        <w:t>This SOP produces and maintains Records 1 through 14 (see the IMS.3 Records folder).</w:t>
      </w:r>
    </w:p>
    <w:p>
      <w:pPr>
        <w:pStyle w:val="Heading1"/>
      </w:pPr>
      <w:r>
        <w:t>7. Related Documents</w:t>
      </w:r>
    </w:p>
    <w:p>
      <w:pPr>
        <w:pStyle w:val="ListParagraph"/>
      </w:pPr>
      <w:r>
        <w:t>Policy on the Complete and Accurate Medical Record (HCO/IMS/POL/03) — this policy</w:t>
      </w:r>
    </w:p>
    <w:p>
      <w:pPr>
        <w:pStyle w:val="ListParagraph"/>
      </w:pPr>
      <w:r>
        <w:t>Required Records — IMS.3 (see IMS.3 Records folder)</w:t>
      </w:r>
    </w:p>
    <w:p>
      <w:pPr>
        <w:pStyle w:val="Heading1"/>
      </w:pPr>
      <w:r>
        <w:t>8. Where This SOP's Requirements Come From (Verified Sources)</w:t>
      </w:r>
    </w:p>
    <w:p>
      <w:pPr>
        <w:pStyle w:val="ListParagraph"/>
      </w:pPr>
      <w:hyperlink r:id="rId11">
        <w:r>
          <w:rPr>
            <w:rStyle w:val="Hyperlink"/>
            <w:i/>
          </w:rPr>
          <w:t>National Accreditation Board for Hospitals and Healthcare Providers. (2025). NABH accreditation standards for hospitals (6th ed.), IMS.3. ISBN 978-81-965264-9-8. https://portal.nabh.co/images/Standards/NABH%20Hospital%20Accreditation%20Standard%206th%20Edition%20January%202025.pdf</w:t>
        </w:r>
      </w:hyperlink>
    </w:p>
    <w:p>
      <w:pPr>
        <w:pStyle w:val="Heading1"/>
      </w:pPr>
      <w:r>
        <w:t>9. Review</w:t>
      </w:r>
    </w:p>
    <w:p>
      <w:r>
        <w:t>This SOP is reviewed at least annually by the Quality Coordinator together with the Medical Records Officer and IT In-Charge, and immediately if an incident, audit or record-review finding shows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diacode.nic.in/handle/123456789/1999" TargetMode="External"/><Relationship Id="rId10" Type="http://schemas.openxmlformats.org/officeDocument/2006/relationships/hyperlink" Target="https://www.ismp.org/system/files/resources/2024-04/ISMP_ErrorProneAbbreviation_List.pdf" TargetMode="External"/><Relationship Id="rId11"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