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the Medical Record Reflecting Continuity of Care</w:t>
      </w:r>
    </w:p>
    <w:p>
      <w:r>
        <w:t>«Hospital Name» — Supports IMS.4</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policy sets out how the medical record at «Hospital Name» documents reasons for admission, diagnosis and care plan; assessments, re-assessments and consultations; investigation results and care provided; operative and other procedures; transfer details; the discharge summary; the cause of death where applicable; and access by care providers to current and past records. This policy does not cover the medical record's unique identifier, entry authorisation, or confidentiality and security of records — those are covered in other hospital policies. If you're new to this SOP, the short version is: follow the numbered steps below in order — they exist because skipping one of them is exactly how an incomplete, unverifiable or insecure medical record ends up costing the hospital and the patient when it matters most.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policy sets out how the medical record at «Hospital Name» documents reasons for admission, diagnosis and care plan; assessments, re-assessments and consultations; investigation results and care provided; operative and other procedures; transfer details; the discharge summary; the cause of death where applicable; and access by care providers to current and past records. This policy does not cover the medical record's unique identifier, entry authorisation, or confidentiality and security of records — those are covered in other hospital policies.</w:t>
      </w:r>
    </w:p>
    <w:p>
      <w:pPr>
        <w:pStyle w:val="Heading1"/>
      </w:pPr>
      <w:r>
        <w:t>2. Scope</w:t>
      </w:r>
    </w:p>
    <w:p>
      <w:r>
        <w:t>This policy applies to the content of the medical record for every patient cared for at «Hospital Name», across admission, in-patient stay, transfer, discharge and death where applicable.</w:t>
      </w:r>
    </w:p>
    <w:p>
      <w:pPr>
        <w:pStyle w:val="Heading1"/>
      </w:pPr>
      <w:r>
        <w:t>3. Responsibility</w:t>
      </w:r>
    </w:p>
    <w:p>
      <w:r>
        <w:t xml:space="preserve">Medical Records Officer / HIM In-Charge: </w:t>
      </w:r>
      <w:r>
        <w:t>owns the day-to-day running of this policy, keeps the required records current, and coordinates record review.</w:t>
      </w:r>
    </w:p>
    <w:p>
      <w:r>
        <w:t xml:space="preserve">IT In-Charge: </w:t>
      </w:r>
      <w:r>
        <w:t>owns the information systems, network maintenance, backup, security controls and licensing this policy requires.</w:t>
      </w:r>
    </w:p>
    <w:p>
      <w:r>
        <w:t xml:space="preserve">Medical Superintendent: </w:t>
      </w:r>
      <w:r>
        <w:t>escalation point for any unresolved gap, and approves retention, destruction and disclosure decisions requiring sign-off.</w:t>
      </w:r>
    </w:p>
    <w:p>
      <w:r>
        <w:t xml:space="preserve">Quality Coordinator: </w:t>
      </w:r>
      <w:r>
        <w:t>audits this policy periodically, checks records against the steps below, and flags gaps for corrective action.</w:t>
      </w:r>
    </w:p>
    <w:p>
      <w:pPr>
        <w:pStyle w:val="Heading1"/>
      </w:pPr>
      <w:r>
        <w:t>4. Plain-Language Glossary</w:t>
      </w:r>
    </w:p>
    <w:p>
      <w:r>
        <w:t>If a word below is unfamiliar, this is what it means in this SOP:</w:t>
      </w:r>
    </w:p>
    <w:p>
      <w:pPr>
        <w:pStyle w:val="ListParagraph"/>
      </w:pPr>
      <w:r>
        <w:rPr>
          <w:b/>
        </w:rPr>
        <w:t xml:space="preserve">ICD: </w:t>
      </w:r>
      <w:r>
        <w:t>WHO's International Classification of Diseases — the global standard code set used to record and compare diagnoses and causes of death.</w:t>
      </w:r>
    </w:p>
    <w:p>
      <w:pPr>
        <w:pStyle w:val="ListParagraph"/>
      </w:pPr>
      <w:r>
        <w:rPr>
          <w:b/>
        </w:rPr>
        <w:t xml:space="preserve">SNOMED CT: </w:t>
      </w:r>
      <w:r>
        <w:t>A comprehensive, internationally used clinical terminology used to code diagnoses, procedures and findings in electronic health records.</w:t>
      </w:r>
    </w:p>
    <w:p>
      <w:pPr>
        <w:pStyle w:val="Heading1"/>
      </w:pPr>
      <w:r>
        <w:t>5. Procedure</w:t>
      </w:r>
    </w:p>
    <w:p>
      <w:pPr>
        <w:pStyle w:val="Heading2"/>
      </w:pPr>
      <w:r>
        <w:t>5.1 Reasons for admission, diagnosis, care plan</w:t>
      </w:r>
    </w:p>
    <w:p>
      <w:r>
        <w:rPr>
          <w:b/>
          <w:i/>
        </w:rPr>
        <w:t xml:space="preserve">Why this step matters: </w:t>
      </w:r>
      <w:r>
        <w:rPr>
          <w:i/>
        </w:rPr>
        <w:t>A medical record without a clearly documented diagnosis and care plan leaves every clinician who reads it after the fact reconstructing the treating doctor's thinking instead of following it. This record proves the diagnosis was actually documented by the treating team, and properly coded in the medical records department. NABH checks this as part of how a genuinely reliable, safe medical record system is actually run, not just what's written about it.</w:t>
      </w:r>
    </w:p>
    <w:p>
      <w:r>
        <w:t>1. The treating doctor, or a doctor member of the treating team, documents the diagnosis in every record it belongs in, preferably coded per ICD or SNOMED CT — see the technical source below.</w:t>
      </w:r>
    </w:p>
    <w:p>
      <w:r>
        <w:t>2. In the medical records department, all diagnoses are subsequently codified per ICD/SNOMED CT, so the hospital's own data is comparable and analysable. (Record 1)</w:t>
      </w:r>
    </w:p>
    <w:p>
      <w:r>
        <w:rPr>
          <w:b/>
          <w:i/>
          <w:sz w:val="18"/>
        </w:rPr>
        <w:t xml:space="preserve">Technical source(s) for these steps: </w:t>
      </w:r>
    </w:p>
    <w:p>
      <w:pPr>
        <w:pStyle w:val="ListParagraph"/>
      </w:pPr>
      <w:hyperlink r:id="rId9">
        <w:r>
          <w:rPr>
            <w:color w:val="0563C1"/>
            <w:u w:val="single"/>
          </w:rPr>
          <w:t>World Health Organization. International Classification of Diseases (ICD-11).</w:t>
        </w:r>
      </w:hyperlink>
    </w:p>
    <w:p>
      <w:pPr>
        <w:pStyle w:val="Heading2"/>
      </w:pPr>
      <w:r>
        <w:t>5.2 Assessments, re-assessments and consultations</w:t>
      </w:r>
    </w:p>
    <w:p>
      <w:r>
        <w:rPr>
          <w:b/>
          <w:i/>
        </w:rPr>
        <w:t xml:space="preserve">Why this step matters: </w:t>
      </w:r>
      <w:r>
        <w:rPr>
          <w:i/>
        </w:rPr>
        <w:t>Continuity of care depends on every discipline's assessment — medical, nursing, rehabilitation, physiotherapy, nutrition — actually being in the file where the next care provider can find it. This record proves these assessments are genuinely present, not conducted and never documented. NABH checks this as part of how a genuinely reliable, safe medical record system is actually run, not just what's written about it.</w:t>
      </w:r>
    </w:p>
    <w:p>
      <w:r>
        <w:t>1. Every assessment, re-assessment and consultation — medical, nursing, rehabilitation, physiotherapy, nutrition — is documented and becomes part of the medical record, in physical or electronic form.</w:t>
      </w:r>
    </w:p>
    <w:p>
      <w:r>
        <w:t>2. A re-assessment is documented as its own distinct entry, not merged into or lost inside the original assessment note. (Record 2)</w:t>
      </w:r>
    </w:p>
    <w:p>
      <w:pPr>
        <w:pStyle w:val="Heading2"/>
      </w:pPr>
      <w:r>
        <w:t>5.3 Investigation results and care provided</w:t>
      </w:r>
    </w:p>
    <w:p>
      <w:r>
        <w:rPr>
          <w:b/>
          <w:i/>
        </w:rPr>
        <w:t xml:space="preserve">Why this step matters: </w:t>
      </w:r>
      <w:r>
        <w:rPr>
          <w:i/>
        </w:rPr>
        <w:t>A lab or imaging result that was done but never filed in the record might as well not exist for the next clinician who needs it. This record proves investigation results and the care actually provided are genuinely captured in the medical record. NABH checks this as part of how a genuinely reliable, safe medical record system is actually run, not just what's written about it.</w:t>
      </w:r>
    </w:p>
    <w:p>
      <w:r>
        <w:t>1. Every investigation result — laboratory, imaging, or any other diagnostic test — is filed into the medical record, in physical or electronic form, consistent with how the record's contents are defined elsewhere.</w:t>
      </w:r>
    </w:p>
    <w:p>
      <w:r>
        <w:t>2. A result received after the patient's discharge is still filed into the record and flagged for the treating team's attention, not left unfiled because the episode has technically closed. (Record 3)</w:t>
      </w:r>
    </w:p>
    <w:p>
      <w:pPr>
        <w:pStyle w:val="Heading2"/>
      </w:pPr>
      <w:r>
        <w:t>5.4 Operative and other procedures</w:t>
      </w:r>
    </w:p>
    <w:p>
      <w:r>
        <w:rPr>
          <w:b/>
          <w:i/>
        </w:rPr>
        <w:t xml:space="preserve">Why this step matters: </w:t>
      </w:r>
      <w:r>
        <w:rPr>
          <w:i/>
        </w:rPr>
        <w:t>A procedure performed but not documented in detail leaves no way to verify what was actually done if a complication or a dispute arises later. This record proves the name and details of every operative or other procedure are actually incorporated into the medical record. NABH checks this as part of how a genuinely reliable, safe medical record system is actually run, not just what's written about it.</w:t>
      </w:r>
    </w:p>
    <w:p>
      <w:r>
        <w:t>1. The name and full details of every operative or other procedure performed are incorporated into the medical record — not summarised so briefly that the procedure can't be reconstructed from the note. (Record 4)</w:t>
      </w:r>
    </w:p>
    <w:p>
      <w:pPr>
        <w:pStyle w:val="Heading2"/>
      </w:pPr>
      <w:r>
        <w:t>5.5 Transfer details</w:t>
      </w:r>
    </w:p>
    <w:p>
      <w:r>
        <w:rPr>
          <w:b/>
          <w:i/>
        </w:rPr>
        <w:t xml:space="preserve">Why this step matters: </w:t>
      </w:r>
      <w:r>
        <w:rPr>
          <w:i/>
        </w:rPr>
        <w:t>A patient transferred to another facility with no record of their condition, the reason, or where they went leaves the receiving team working blind and leaves the sending hospital unable to account for the handover. This record proves the date, reason, receiving organisation and pre-transfer clinical condition were all actually documented. NABH checks this as part of how a genuinely reliable, safe medical record system is actually run, not just what's written about it.</w:t>
      </w:r>
    </w:p>
    <w:p>
      <w:r>
        <w:t>1. When a patient is transferred to another organisation, the record captures the date of transfer, the reason for transfer, and the name of the receiving organisation.</w:t>
      </w:r>
    </w:p>
    <w:p>
      <w:r>
        <w:t>2. The patient's clinical condition immediately before transfer is mandatorily recorded — this is never optional, even for a routine-seeming transfer.</w:t>
      </w:r>
    </w:p>
    <w:p>
      <w:r>
        <w:t>3. Where the transfer was requested by the patient, that is noted, and the receiving organisation recorded is the one the patient actually chose. (Record 5)</w:t>
      </w:r>
    </w:p>
    <w:p>
      <w:pPr>
        <w:pStyle w:val="Heading2"/>
      </w:pPr>
      <w:r>
        <w:t>5.6 Discharge summary</w:t>
      </w:r>
    </w:p>
    <w:p>
      <w:r>
        <w:rPr>
          <w:b/>
          <w:i/>
        </w:rPr>
        <w:t xml:space="preserve">Why this step matters: </w:t>
      </w:r>
      <w:r>
        <w:rPr>
          <w:i/>
        </w:rPr>
        <w:t>A patient who leaves hospital without a signed discharge summary has no reliable account of their own admission for their next doctor to work from. This record proves a signed — physical or electronic — discharge summary is genuinely in every file. NABH checks this as part of how a genuinely reliable, safe medical record system is actually run, not just what's written about it.</w:t>
      </w:r>
    </w:p>
    <w:p>
      <w:r>
        <w:t>1. The medical record contains a signed copy of the discharge summary, signed by a doctor member of the treating team.</w:t>
      </w:r>
    </w:p>
    <w:p>
      <w:r>
        <w:t>2. An electronically signed discharge summary is accepted, provided the e-signature meets the statutory requirement — see the technical source below. (Record 6)</w:t>
      </w:r>
    </w:p>
    <w:p>
      <w:r>
        <w:rPr>
          <w:b/>
          <w:i/>
          <w:sz w:val="18"/>
        </w:rPr>
        <w:t xml:space="preserve">Technical source(s) for these steps: </w:t>
      </w:r>
    </w:p>
    <w:p>
      <w:pPr>
        <w:pStyle w:val="ListParagraph"/>
      </w:pPr>
      <w:hyperlink r:id="rId10">
        <w:r>
          <w:rPr>
            <w:color w:val="0563C1"/>
            <w:u w:val="single"/>
          </w:rPr>
          <w:t>Government of India. (2000). The Information Technology Act, 2000.</w:t>
        </w:r>
      </w:hyperlink>
    </w:p>
    <w:p>
      <w:pPr>
        <w:pStyle w:val="Heading2"/>
      </w:pPr>
      <w:r>
        <w:t>5.7 Cause of death</w:t>
      </w:r>
    </w:p>
    <w:p>
      <w:r>
        <w:rPr>
          <w:b/>
          <w:i/>
        </w:rPr>
        <w:t xml:space="preserve">Why this step matters: </w:t>
      </w:r>
      <w:r>
        <w:rPr>
          <w:i/>
        </w:rPr>
        <w:t>An incorrectly coded or missing cause-of-death certificate — for instance recording cardiac arrest as the cause instead of the underlying condition that caused it — corrupts national mortality statistics and can have real legal consequences. This record proves the certificate was completed correctly, coded per WHO classification, following the Registrar General's official manual. NABH checks this as part of how a genuinely reliable, safe medical record system is actually run, not just what's written about it.</w:t>
      </w:r>
    </w:p>
    <w:p>
      <w:r>
        <w:t>1. In case of death, the record contains a copy of the medical certificate of cause of death, stating the cause, date and time of death, coded per the WHO International Classification of the Cause of Death — see the technical source below.</w:t>
      </w:r>
    </w:p>
    <w:p>
      <w:r>
        <w:t>2. Cardiac and respiratory arrest is recorded as the event of death, never as the cause of death — this distinction is checked on every certificate before filing.</w:t>
      </w:r>
    </w:p>
    <w:p>
      <w:r>
        <w:t>3. The certificate is completed following the government's official physician's manual on medical certification of cause of death — see the technical source below. (Record 7)</w:t>
      </w:r>
    </w:p>
    <w:p>
      <w:r>
        <w:rPr>
          <w:b/>
          <w:i/>
          <w:sz w:val="18"/>
        </w:rPr>
        <w:t xml:space="preserve">Technical source(s) for these steps: </w:t>
      </w:r>
    </w:p>
    <w:p>
      <w:pPr>
        <w:pStyle w:val="ListParagraph"/>
      </w:pPr>
      <w:hyperlink r:id="rId9">
        <w:r>
          <w:rPr>
            <w:color w:val="0563C1"/>
            <w:u w:val="single"/>
          </w:rPr>
          <w:t>World Health Organization. International Classification of Diseases (ICD-11).</w:t>
        </w:r>
      </w:hyperlink>
    </w:p>
    <w:p>
      <w:pPr>
        <w:pStyle w:val="ListParagraph"/>
      </w:pPr>
      <w:hyperlink r:id="rId11">
        <w:r>
          <w:rPr>
            <w:color w:val="0563C1"/>
            <w:u w:val="single"/>
          </w:rPr>
          <w:t>Office of the Registrar General, Ministry of Home Affairs, Government of India. Physicians' Manual on Medical Certification of Cause of Death.</w:t>
        </w:r>
      </w:hyperlink>
    </w:p>
    <w:p>
      <w:pPr>
        <w:pStyle w:val="Heading2"/>
      </w:pPr>
      <w:r>
        <w:t>5.8 Care provider access</w:t>
      </w:r>
    </w:p>
    <w:p>
      <w:r>
        <w:rPr>
          <w:b/>
          <w:i/>
        </w:rPr>
        <w:t xml:space="preserve">Why this step matters: </w:t>
      </w:r>
      <w:r>
        <w:rPr>
          <w:i/>
        </w:rPr>
        <w:t>A treating doctor unable to access a patient's record — because the MRD is closed, or because they lack system access — cannot safely continue that patient's care. This record proves genuine 24-hour access exists, through user ID/password for electronic systems and a real retrieval system for physical records, including for existing patients arriving in the emergency room. NABH checks this as part of how a genuinely reliable, safe medical record system is actually run, not just what's written about it.</w:t>
      </w:r>
    </w:p>
    <w:p>
      <w:r>
        <w:t>1. Designated care providers involved in a patient's care are given access to that patient's medical record; for an electronic system, each identified provider holds their own individual user ID and password.</w:t>
      </w:r>
    </w:p>
    <w:p>
      <w:r>
        <w:t>2. A 24-hour provision ensures the record is available to healthcare providers for continuity of care, including outside normal medical-records-department hours.</w:t>
      </w:r>
    </w:p>
    <w:p>
      <w:r>
        <w:t>3. For physical records, when the medical records department is closed, a defined system lets authorised personnel retrieve the record; records for all existing hospital patients are retrievable for a patient presenting to the emergency room. (Records 8–9)</w:t>
      </w:r>
    </w:p>
    <w:p>
      <w:pPr>
        <w:pStyle w:val="Heading1"/>
      </w:pPr>
      <w:r>
        <w:t>6. Records</w:t>
      </w:r>
    </w:p>
    <w:p>
      <w:r>
        <w:t>This SOP produces and maintains Records 1 through 9 (see the IMS.4 Records folder).</w:t>
      </w:r>
    </w:p>
    <w:p>
      <w:pPr>
        <w:pStyle w:val="Heading1"/>
      </w:pPr>
      <w:r>
        <w:t>7. Related Documents</w:t>
      </w:r>
    </w:p>
    <w:p>
      <w:pPr>
        <w:pStyle w:val="ListParagraph"/>
      </w:pPr>
      <w:r>
        <w:t>Policy on the Medical Record Reflecting Continuity of Care (HCO/IMS/POL/04) — this policy</w:t>
      </w:r>
    </w:p>
    <w:p>
      <w:pPr>
        <w:pStyle w:val="ListParagraph"/>
      </w:pPr>
      <w:r>
        <w:t>Required Records — IMS.4 (see IMS.4 Records folder)</w:t>
      </w:r>
    </w:p>
    <w:p>
      <w:pPr>
        <w:pStyle w:val="Heading1"/>
      </w:pPr>
      <w:r>
        <w:t>8. Where This SOP's Requirements Come From (Verified Sources)</w:t>
      </w:r>
    </w:p>
    <w:p>
      <w:pPr>
        <w:pStyle w:val="ListParagraph"/>
      </w:pPr>
      <w:hyperlink r:id="rId12">
        <w:r>
          <w:rPr>
            <w:rStyle w:val="Hyperlink"/>
            <w:i/>
          </w:rPr>
          <w:t>National Accreditation Board for Hospitals and Healthcare Providers. (2025). NABH accreditation standards for hospitals (6th ed.), IMS.4. ISBN 978-81-965264-9-8. https://portal.nabh.co/images/Standards/NABH%20Hospital%20Accreditation%20Standard%206th%20Edition%20January%202025.pdf</w:t>
        </w:r>
      </w:hyperlink>
    </w:p>
    <w:p>
      <w:pPr>
        <w:pStyle w:val="Heading1"/>
      </w:pPr>
      <w:r>
        <w:t>9. Review</w:t>
      </w:r>
    </w:p>
    <w:p>
      <w:r>
        <w:t>This SOP is reviewed at least annually by the Quality Coordinator together with the Medical Records Officer and IT In-Charge, and immediately if an incident, audit or record-review finding shows it isn't working as written.</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standards/classifications/classification-of-diseases" TargetMode="External"/><Relationship Id="rId10" Type="http://schemas.openxmlformats.org/officeDocument/2006/relationships/hyperlink" Target="https://www.indiacode.nic.in/handle/123456789/1999" TargetMode="External"/><Relationship Id="rId11" Type="http://schemas.openxmlformats.org/officeDocument/2006/relationships/hyperlink" Target="https://censusindia.gov.in/2011-Documents/mccd_Report1/Physician's_Manual_MCCD.pdf" TargetMode="External"/><Relationship Id="rId12" Type="http://schemas.openxmlformats.org/officeDocument/2006/relationships/hyperlink" Target="https://portal.nabh.co/images/Standards/NABH%20Hospital%20Accreditation%20Standard%206th%20Edition%20January%2020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