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Sustainability, Social Responsibility and Staff Well-being</w:t>
      </w:r>
    </w:p>
    <w:p>
      <w:r>
        <w:t>«Hospital Name» — Supports ROM.3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manages its environmental, social and governance (ESG) sustainability programme; acts to become a more energy-efficient and environmentally friendly hospital; fulfils its social responsibility to the community it serves; promotes the well-being of its staff; applies sustainability criteria in procurement; encourages staff to use common or public transport; and ensures its long-term financial sustainability. This policy does not cover patient assessment, clinical care, medication management, patient rights, infection control, or quality and safety monitoring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manages its environmental, social and governance (ESG) sustainability programme; acts to become a more energy-efficient and environmentally friendly hospital; fulfils its social responsibility to the community it serves; promotes the well-being of its staff; applies sustainability criteria in procurement; encourages staff to use common or public transport; and ensures its long-term financial sustainability. 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those responsible for governance, the Medical Superintendent, departmental leaders, the Quality Coordinator, and all staff at «Hospital Name» whose roles involve sustainability programmes, procurement, staff welfare, or financial planning and review.</w:t>
      </w:r>
    </w:p>
    <w:p>
      <w:pPr>
        <w:pStyle w:val="Heading1"/>
      </w:pPr>
      <w:r>
        <w:t>3. Responsibility</w:t>
      </w:r>
    </w:p>
    <w:p>
      <w:r>
        <w:t xml:space="preserve">Governing Body: </w:t>
      </w:r>
      <w:r>
        <w:t>makes and minutes the decisions this policy requires — approvals, appointments, resource allocation — and cannot delegate that accountability informally.</w:t>
      </w:r>
    </w:p>
    <w:p>
      <w:r>
        <w:t xml:space="preserve">Medical Superintendent / Person Heading the Organisation: </w:t>
      </w:r>
      <w:r>
        <w:t>keeps the required documents current, prepares performance reports, and escalates anything not being done to the governing body.</w:t>
      </w:r>
    </w:p>
    <w:p>
      <w:r>
        <w:t xml:space="preserve">Quality Coordinator: </w:t>
      </w:r>
      <w:r>
        <w:t>audits this policy periodically, checks records against the steps below, and flags gaps for corrective action.</w:t>
      </w:r>
    </w:p>
    <w:p>
      <w:r>
        <w:t xml:space="preserve">Department Heads: </w:t>
      </w:r>
      <w:r>
        <w:t>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ListParagraph"/>
      </w:pPr>
      <w:r>
        <w:rPr>
          <w:b/>
        </w:rPr>
        <w:t xml:space="preserve">ESG: </w:t>
      </w:r>
      <w:r>
        <w:t>Environmental, Social and Governance — the three areas a hospital's sustainability programme is usually organised around: its environmental footprint, its social impact, and how well it is governed.</w:t>
      </w:r>
    </w:p>
    <w:p>
      <w:pPr>
        <w:pStyle w:val="ListParagraph"/>
      </w:pPr>
      <w:r>
        <w:rPr>
          <w:b/>
        </w:rPr>
        <w:t xml:space="preserve">GRI Standards: </w:t>
      </w:r>
      <w:r>
        <w:t>A widely used international framework (Global Reporting Initiative) for what an organisation should measure and report about its environmental and social impact.</w:t>
      </w:r>
    </w:p>
    <w:p>
      <w:pPr>
        <w:pStyle w:val="Heading1"/>
      </w:pPr>
      <w:r>
        <w:t>5. Procedure</w:t>
      </w:r>
    </w:p>
    <w:p>
      <w:pPr>
        <w:pStyle w:val="Heading2"/>
      </w:pPr>
      <w:r>
        <w:t>5.1 Address the ESG sustainability programme</w:t>
      </w:r>
    </w:p>
    <w:p>
      <w:r>
        <w:rPr>
          <w:b/>
          <w:i/>
        </w:rPr>
        <w:t xml:space="preserve">Why this step matters: </w:t>
      </w:r>
      <w:r>
        <w:rPr>
          <w:i/>
        </w:rPr>
        <w:t>A hospital with no written ESG programme leaves its environmental, social and governance responsibilities to individual goodwill instead of an organised plan — this record proves a real programme exists, was actually tabled with governance, and is reviewed at least yearly. NABH checks this as part of how a functioning governance and leadership structure actually runs.</w:t>
      </w:r>
    </w:p>
    <w:p>
      <w:r>
        <w:t>1. Write an ESG (Environmental, Social, Governance) sustainability programme for the hospital, using a recognised structure such as the GRI Standards' reporting topics as a checklist for what to cover, rather than inventing categories from scratch.</w:t>
      </w:r>
    </w:p>
    <w:p>
      <w:r>
        <w:t>2. Table the programme at a governance meeting and record that discussion in the minutes.</w:t>
      </w:r>
    </w:p>
    <w:p>
      <w:r>
        <w:t>3. Review the programme at least annually and record what changed and why. (Records 1–3)</w:t>
      </w:r>
    </w:p>
    <w:p>
      <w:r>
        <w:rPr>
          <w:b/>
          <w:i/>
          <w:sz w:val="18"/>
        </w:rPr>
        <w:t xml:space="preserve">Technical source(s) for these steps: </w:t>
      </w:r>
    </w:p>
    <w:p>
      <w:pPr>
        <w:pStyle w:val="ListParagraph"/>
      </w:pPr>
      <w:hyperlink r:id="rId9">
        <w:r>
          <w:rPr>
            <w:color w:val="0563C1"/>
            <w:u w:val="single"/>
          </w:rPr>
          <w:t>Global Reporting Initiative — GRI Standards for sustainability reporting.</w:t>
        </w:r>
      </w:hyperlink>
    </w:p>
    <w:p>
      <w:pPr>
        <w:pStyle w:val="Heading2"/>
      </w:pPr>
      <w:r>
        <w:t>5.2 Take initiatives toward an energy-efficient and environmentally friendly hospital</w:t>
      </w:r>
    </w:p>
    <w:p>
      <w:r>
        <w:rPr>
          <w:b/>
          <w:i/>
        </w:rPr>
        <w:t xml:space="preserve">Why this step matters: </w:t>
      </w:r>
      <w:r>
        <w:rPr>
          <w:i/>
        </w:rPr>
        <w:t>Claiming to be 'environmentally friendly' without any actual log of what was done and what it achieved is just a slogan — this record proves real energy and environmental initiatives happened, with real measured results. NABH checks this as part of how a functioning governance and leadership structure actually runs.</w:t>
      </w:r>
    </w:p>
    <w:p>
      <w:r>
        <w:t>1. Identify specific energy or environmental initiatives to pursue (e.g. LED retrofit, solar, water recycling, waste segregation improvements), following the categories set out in the WHO Guidance for Climate Resilient and Environmentally Sustainable Health Care Facilities.</w:t>
      </w:r>
    </w:p>
    <w:p>
      <w:r>
        <w:t>2. Keep a dated log of each initiative and its result — don't just log the intention.</w:t>
      </w:r>
    </w:p>
    <w:p>
      <w:r>
        <w:t>3. Where the initiative overlaps with a facility-management control already tracked in the engineering file, cross-reference rather than duplicate the record.</w:t>
      </w:r>
    </w:p>
    <w:p>
      <w:r>
        <w:t>4. Where possible, record a before/after figure (e.g. units of electricity, litres of water) so the initiative's actual impact, not just its existence, is evidenced. (Records 4–6)</w:t>
      </w:r>
    </w:p>
    <w:p>
      <w:r>
        <w:rPr>
          <w:b/>
          <w:i/>
          <w:sz w:val="18"/>
        </w:rPr>
        <w:t xml:space="preserve">Technical source(s) for these steps: </w:t>
      </w:r>
    </w:p>
    <w:p>
      <w:pPr>
        <w:pStyle w:val="ListParagraph"/>
      </w:pPr>
      <w:hyperlink r:id="rId10">
        <w:r>
          <w:rPr>
            <w:color w:val="0563C1"/>
            <w:u w:val="single"/>
          </w:rPr>
          <w:t>World Health Organization (2020). WHO Guidance for Climate Resilient and Environmentally Sustainable Health Care Facilities.</w:t>
        </w:r>
      </w:hyperlink>
    </w:p>
    <w:p>
      <w:pPr>
        <w:pStyle w:val="Heading2"/>
      </w:pPr>
      <w:r>
        <w:t>5.3 Address social responsibility</w:t>
      </w:r>
    </w:p>
    <w:p>
      <w:r>
        <w:rPr>
          <w:b/>
          <w:i/>
        </w:rPr>
        <w:t xml:space="preserve">Why this step matters: </w:t>
      </w:r>
      <w:r>
        <w:rPr>
          <w:i/>
        </w:rPr>
        <w:t>A social-responsibility policy that never produces an actual activity helps nobody in the community it's meant to serve — this record proves real activities actually reached real people, not just a paragraph in a policy document. NABH checks this as part of how a functioning governance and leadership structure actually runs.</w:t>
      </w:r>
    </w:p>
    <w:p>
      <w:r>
        <w:t>1. Define the hospital's social-responsibility programme in writing — for example community health camps, charity care thresholds, or local outreach — using the core-subject areas in ISO 26000 (community involvement, human rights, fair operating practices) as a reference structure.</w:t>
      </w:r>
    </w:p>
    <w:p>
      <w:r>
        <w:t>2. Run the programme's activities and keep an annual activity report summarising what was actually done. (Records 7–8)</w:t>
      </w:r>
    </w:p>
    <w:p>
      <w:r>
        <w:rPr>
          <w:b/>
          <w:i/>
          <w:sz w:val="18"/>
        </w:rPr>
        <w:t xml:space="preserve">Technical source(s) for these steps: </w:t>
      </w:r>
    </w:p>
    <w:p>
      <w:pPr>
        <w:pStyle w:val="ListParagraph"/>
      </w:pPr>
      <w:hyperlink r:id="rId11">
        <w:r>
          <w:rPr>
            <w:color w:val="0563C1"/>
            <w:u w:val="single"/>
          </w:rPr>
          <w:t>International Organization for Standardization (2010). ISO 26000:2010 — Guidance on social responsibility.</w:t>
        </w:r>
      </w:hyperlink>
    </w:p>
    <w:p>
      <w:pPr>
        <w:pStyle w:val="Heading2"/>
      </w:pPr>
      <w:r>
        <w:t>5.4 Promote staff well-being</w:t>
      </w:r>
    </w:p>
    <w:p>
      <w:r>
        <w:rPr>
          <w:b/>
          <w:i/>
        </w:rPr>
        <w:t xml:space="preserve">Why this step matters: </w:t>
      </w:r>
      <w:r>
        <w:rPr>
          <w:i/>
        </w:rPr>
        <w:t>Staff burnout builds up quietly until it shows up as errors or turnover — this record proves the hospital is actually monitoring workload and actually giving staff a real channel to raise concerns, not just claiming to care. NABH checks this as part of how a functioning governance and leadership structure actually runs.</w:t>
      </w:r>
    </w:p>
    <w:p>
      <w:r>
        <w:t>1. Put in place a method for actually monitoring staff working hours (e.g. duty rosters cross-checked against actual clock-in/out or attendance data), not just a stated policy limit.</w:t>
      </w:r>
    </w:p>
    <w:p>
      <w:r>
        <w:t>2. Provide and document arrangements supporting staff well-being — scheduled breaks, and access to healthy-lifestyle support (canteen options, rest areas, or similar as the hospital defines).</w:t>
      </w:r>
    </w:p>
    <w:p>
      <w:r>
        <w:t>3. Open a specific channel through which staff can raise workload concerns, and log concerns actually raised through it along with what was done about them. (Records 9–11)</w:t>
      </w:r>
    </w:p>
    <w:p>
      <w:pPr>
        <w:pStyle w:val="Heading2"/>
      </w:pPr>
      <w:r>
        <w:t>5.5 Follow sustainable procurement practices</w:t>
      </w:r>
    </w:p>
    <w:p>
      <w:r>
        <w:rPr>
          <w:b/>
          <w:i/>
        </w:rPr>
        <w:t xml:space="preserve">Why this step matters: </w:t>
      </w:r>
      <w:r>
        <w:rPr>
          <w:i/>
        </w:rPr>
        <w:t>A purchase policy that names environmental and social criteria but is never actually applied when a real tender is evaluated is worthless — this record proves those criteria were genuinely used in a real procurement decision. NABH checks this as part of how a functioning governance and leadership structure actually runs.</w:t>
      </w:r>
    </w:p>
    <w:p>
      <w:r>
        <w:t>1. Write environmental and social criteria into the hospital's purchase policy for how vendors and tenders are evaluated, following the structure ISO 20400 sets out for sustainable procurement (life-cycle impact, supplier conduct, social criteria alongside price).</w:t>
      </w:r>
    </w:p>
    <w:p>
      <w:r>
        <w:t>2. Apply those criteria in the actual procurement file for a purchase or tender, not only in the policy document.</w:t>
      </w:r>
    </w:p>
    <w:p>
      <w:r>
        <w:t>3. Keep at least one completed tender evaluation on file that shows the sustainability criteria were actually scored, not just listed. (Records 12–14)</w:t>
      </w:r>
    </w:p>
    <w:p>
      <w:r>
        <w:rPr>
          <w:b/>
          <w:i/>
          <w:sz w:val="18"/>
        </w:rPr>
        <w:t xml:space="preserve">Technical source(s) for these steps: </w:t>
      </w:r>
    </w:p>
    <w:p>
      <w:pPr>
        <w:pStyle w:val="ListParagraph"/>
      </w:pPr>
      <w:hyperlink r:id="rId12">
        <w:r>
          <w:rPr>
            <w:color w:val="0563C1"/>
            <w:u w:val="single"/>
          </w:rPr>
          <w:t>International Organization for Standardization (2017). ISO 20400:2017 — Sustainable procurement — Guidance.</w:t>
        </w:r>
      </w:hyperlink>
    </w:p>
    <w:p>
      <w:pPr>
        <w:pStyle w:val="Heading2"/>
      </w:pPr>
      <w:r>
        <w:t>5.6 Encourage staff to use common or public transport</w:t>
      </w:r>
    </w:p>
    <w:p>
      <w:r>
        <w:rPr>
          <w:b/>
          <w:i/>
        </w:rPr>
        <w:t xml:space="preserve">Why this step matters: </w:t>
      </w:r>
      <w:r>
        <w:rPr>
          <w:i/>
        </w:rPr>
        <w:t>Encouraging sustainable commuting only counts if staff actually heard about it — this record proves the communication and any incentive were genuinely issued, not just discussed as an idea. NABH checks this as part of how a functioning governance and leadership structure actually runs.</w:t>
      </w:r>
    </w:p>
    <w:p>
      <w:r>
        <w:t>1. Issue a staff communication promoting common or public transport for commuting (e.g. an intranet notice, a poster, an HR circular).</w:t>
      </w:r>
    </w:p>
    <w:p>
      <w:r>
        <w:t>2. Where the hospital offers an incentive (subsidised passes, shuttle, cycle-to-work scheme), document what was offered.</w:t>
      </w:r>
    </w:p>
    <w:p>
      <w:r>
        <w:t>3. Keep a record that the communication was actually issued to staff — this only has to prove the message went out, not that every individual staff member complied. (Records 15–17)</w:t>
      </w:r>
    </w:p>
    <w:p>
      <w:pPr>
        <w:pStyle w:val="Heading2"/>
      </w:pPr>
      <w:r>
        <w:t>5.7 Ensure financial sustainability</w:t>
      </w:r>
    </w:p>
    <w:p>
      <w:r>
        <w:rPr>
          <w:b/>
          <w:i/>
        </w:rPr>
        <w:t xml:space="preserve">Why this step matters: </w:t>
      </w:r>
      <w:r>
        <w:rPr>
          <w:i/>
        </w:rPr>
        <w:t>A hospital that never actually reviews how it balances cost, revenue and resource allocation can drift into financial trouble without anyone noticing until it's serious — this record proves a real review happened and its findings were genuinely acted on. NABH checks this as part of how a functioning governance and leadership structure actually runs.</w:t>
      </w:r>
    </w:p>
    <w:p>
      <w:r>
        <w:t>1. Periodically review how the hospital balances its costs, revenue and resource allocation, in whatever form the hospital's own finance function uses (a cost-revenue report, a budget-variance review).</w:t>
      </w:r>
    </w:p>
    <w:p>
      <w:r>
        <w:t>2. Take the review's findings back to the relevant committee or leadership meeting and record whether/how they were acted on — a review that produces no follow-up action defeats its own purpose. (Records 18–19)</w:t>
      </w:r>
    </w:p>
    <w:p>
      <w:pPr>
        <w:pStyle w:val="Heading1"/>
      </w:pPr>
      <w:r>
        <w:t>6. Records</w:t>
      </w:r>
    </w:p>
    <w:p>
      <w:r>
        <w:t>This SOP produces and maintains Records 1 through 19 (see the ROM.3 Records folder).</w:t>
      </w:r>
    </w:p>
    <w:p>
      <w:pPr>
        <w:pStyle w:val="Heading1"/>
      </w:pPr>
      <w:r>
        <w:t>7. Related Documents</w:t>
      </w:r>
    </w:p>
    <w:p>
      <w:pPr>
        <w:pStyle w:val="ListParagraph"/>
      </w:pPr>
      <w:r>
        <w:t>Policy on Sustainability, Social Responsibility and Staff Well-being (HCO/ROM/POL/03) — this policy</w:t>
      </w:r>
    </w:p>
    <w:p>
      <w:pPr>
        <w:pStyle w:val="ListParagraph"/>
      </w:pPr>
      <w:r>
        <w:t>Required Records — ROM.3 (see ROM.3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ROM.3.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lobalreporting.org/standards" TargetMode="External"/><Relationship Id="rId10" Type="http://schemas.openxmlformats.org/officeDocument/2006/relationships/hyperlink" Target="https://www.who.int/publications/i/item/9789240012226" TargetMode="External"/><Relationship Id="rId11" Type="http://schemas.openxmlformats.org/officeDocument/2006/relationships/hyperlink" Target="https://www.iso.org/standard/42546.html" TargetMode="External"/><Relationship Id="rId12" Type="http://schemas.openxmlformats.org/officeDocument/2006/relationships/hyperlink" Target="https://www.iso.org/standard/6302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