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Patient Safety, Risk Management and Outsourced Services</w:t>
      </w:r>
    </w:p>
    <w:p>
      <w:r>
        <w:t>«Hospital Name» — Supports ROM.6</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finds risks before they cause harm, fixes them, and holds outsourced services to the same safety standard as its own staff. Leadership is responsible for making this happen, not just for writing it down. This policy does not cover day-to-day clinical care, medication safety, patient rights, or infection control — those are covered in other hospital policies. If you're new to this SOP, the short version is: follow the numbered steps below in order — they exist because skipping one of them is exactly how governance ends up existing on paper but not in practice.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finds risks before they cause harm, fixes them, and holds outsourced services to the same safety standard as its own staff. Leadership is responsible for making this happen, not just for writing it down. This policy does not cover day-to-day clinical care, medication safety, patient rights, or infection control — those are covered in other hospital policies.</w:t>
      </w:r>
    </w:p>
    <w:p>
      <w:pPr>
        <w:pStyle w:val="Heading1"/>
      </w:pPr>
      <w:r>
        <w:t>2. Scope</w:t>
      </w:r>
    </w:p>
    <w:p>
      <w:r>
        <w:t>This policy applies to the person leading the organisation, the governing body, department heads, the Quality Coordinator, and anyone who manages outsourced services, ethics, or sustainability work at «Hospital Name».</w:t>
      </w:r>
    </w:p>
    <w:p>
      <w:pPr>
        <w:pStyle w:val="Heading1"/>
      </w:pPr>
      <w:r>
        <w:t>3. Responsibility</w:t>
      </w:r>
    </w:p>
    <w:p>
      <w:r>
        <w:t xml:space="preserve">Governing Body: </w:t>
      </w:r>
      <w:r>
        <w:t>makes and minutes the decisions this policy requires — approvals, appointments, resource allocation — and cannot delegate that accountability informally.</w:t>
      </w:r>
    </w:p>
    <w:p>
      <w:r>
        <w:t xml:space="preserve">Medical Superintendent / Person Heading the Organisation: </w:t>
      </w:r>
      <w:r>
        <w:t>keeps the required documents current, prepares performance reports, and escalates anything not being done to the governing body.</w:t>
      </w:r>
    </w:p>
    <w:p>
      <w:r>
        <w:t xml:space="preserve">Quality Coordinator: </w:t>
      </w:r>
      <w:r>
        <w:t>audits this policy periodically, checks records against the steps below, and flags gaps for corrective action.</w:t>
      </w:r>
    </w:p>
    <w:p>
      <w:r>
        <w:t xml:space="preserve">Department Heads: </w:t>
      </w:r>
      <w:r>
        <w:t>carry out the parts of this policy that apply within their own department and keep the department-level evidence current.</w:t>
      </w:r>
    </w:p>
    <w:p>
      <w:pPr>
        <w:pStyle w:val="Heading1"/>
      </w:pPr>
      <w:r>
        <w:t>4. Plain-Language Glossary</w:t>
      </w:r>
    </w:p>
    <w:p>
      <w:r>
        <w:t>If a word below is unfamiliar, this is what it means in this SOP:</w:t>
      </w:r>
    </w:p>
    <w:p>
      <w:pPr>
        <w:pStyle w:val="ListParagraph"/>
      </w:pPr>
      <w:r>
        <w:rPr>
          <w:b/>
        </w:rPr>
        <w:t xml:space="preserve">Governing Body: </w:t>
      </w:r>
      <w:r>
        <w:t>The person or group with the legal authority to run the hospital — owner(s), trustees, directors, or an equivalent body depending on how the hospital is registered.</w:t>
      </w:r>
    </w:p>
    <w:p>
      <w:pPr>
        <w:pStyle w:val="ListParagraph"/>
      </w:pPr>
      <w:r>
        <w:rPr>
          <w:b/>
        </w:rPr>
        <w:t xml:space="preserve">Risk Register: </w:t>
      </w:r>
      <w:r>
        <w:t>A hospital's running, written list of identified risks, each with its likelihood, its impact, and what is being done about it — not a one-time list, but something updated as risks change.</w:t>
      </w:r>
    </w:p>
    <w:p>
      <w:pPr>
        <w:pStyle w:val="ListParagraph"/>
      </w:pPr>
      <w:r>
        <w:rPr>
          <w:b/>
        </w:rPr>
        <w:t xml:space="preserve">Business Continuity Plan: </w:t>
      </w:r>
      <w:r>
        <w:t>A tested written plan for how the hospital keeps its critical services running — or gets them running again quickly — during a fire, disaster or other major disruption.</w:t>
      </w:r>
    </w:p>
    <w:p>
      <w:pPr>
        <w:pStyle w:val="ListParagraph"/>
      </w:pPr>
      <w:r>
        <w:rPr>
          <w:b/>
        </w:rPr>
        <w:t xml:space="preserve">Outsourcing: </w:t>
      </w:r>
      <w:r>
        <w:t>Having an outside vendor or agency perform a service for the hospital (e.g. housekeeping, diagnostics reporting, security) instead of hospital staff doing it directly — still the hospital's responsibility to make sure it's done properly.</w:t>
      </w:r>
    </w:p>
    <w:p>
      <w:pPr>
        <w:pStyle w:val="Heading1"/>
      </w:pPr>
      <w:r>
        <w:t>5. Procedure</w:t>
      </w:r>
    </w:p>
    <w:p>
      <w:pPr>
        <w:pStyle w:val="Heading2"/>
      </w:pPr>
      <w:r>
        <w:t>5.1 Look for risks before they cause harm</w:t>
      </w:r>
    </w:p>
    <w:p>
      <w:r>
        <w:rPr>
          <w:b/>
          <w:i/>
        </w:rPr>
        <w:t xml:space="preserve">Why this step matters: </w:t>
      </w:r>
      <w:r>
        <w:rPr>
          <w:i/>
        </w:rPr>
        <w:t>Waiting for a patient to actually be harmed before identifying a risk is the most expensive way to find out about it — this record proves a real, documented risk-management system exists, a real risk register is kept, and real risks on it are actually assessed and acted on. This is a CORE requirement — NABH treats it as non-negotiable, not aspirational.</w:t>
      </w:r>
    </w:p>
    <w:p>
      <w:r>
        <w:t>1. Put in place a risk-management system consistent with the ISO 31000 risk-management process: establish context, identify risks, analyse and evaluate them, then treat them — rather than only reacting after an incident.</w:t>
      </w:r>
    </w:p>
    <w:p>
      <w:r>
        <w:t>2. Build and maintain a risk register naming identified clinical and organisational risks specific to this hospital (for example falls, healthcare-associated infection, vulnerable-patient risks such as DVT, or clinical-alarm-related risk).</w:t>
      </w:r>
    </w:p>
    <w:p>
      <w:r>
        <w:t>3. For a sample of risks on the register, keep an assessment, action and review log showing the risk was actually assessed and something was actually done, not just listed. (Records 1–3)</w:t>
      </w:r>
    </w:p>
    <w:p>
      <w:r>
        <w:rPr>
          <w:b/>
          <w:i/>
          <w:sz w:val="18"/>
        </w:rPr>
        <w:t xml:space="preserve">Technical source(s) for these steps: </w:t>
      </w:r>
    </w:p>
    <w:p>
      <w:pPr>
        <w:pStyle w:val="ListParagraph"/>
      </w:pPr>
      <w:hyperlink r:id="rId9">
        <w:r>
          <w:rPr>
            <w:color w:val="0563C1"/>
            <w:u w:val="single"/>
          </w:rPr>
          <w:t>International Organization for Standardization (2018). ISO 31000:2018 — Risk management — Guidelines.</w:t>
        </w:r>
      </w:hyperlink>
    </w:p>
    <w:p>
      <w:pPr>
        <w:pStyle w:val="Heading2"/>
      </w:pPr>
      <w:r>
        <w:t>5.2 Give departments what they need to act on risk</w:t>
      </w:r>
    </w:p>
    <w:p>
      <w:r>
        <w:rPr>
          <w:b/>
          <w:i/>
        </w:rPr>
        <w:t xml:space="preserve">Why this step matters: </w:t>
      </w:r>
      <w:r>
        <w:rPr>
          <w:i/>
        </w:rPr>
        <w:t>Leadership saying risk management matters and leadership actually paying and training people for it are two different things — this record proves real money, real training and a real contingency allocation actually went toward risk-reduction activity. NABH checks this as part of how a functioning governance and leadership structure actually runs.</w:t>
      </w:r>
    </w:p>
    <w:p>
      <w:r>
        <w:t>1. Allocate a specific budget or resource line for proactive risk-assessment and risk-reduction activity, and record that allocation.</w:t>
      </w:r>
    </w:p>
    <w:p>
      <w:r>
        <w:t>2. Train the staff actually involved in risk-identification and risk-reduction activity, and keep the training record.</w:t>
      </w:r>
    </w:p>
    <w:p>
      <w:r>
        <w:t>3. Set aside a contingency allocation for preventive action so a risk finding doesn't stall for lack of funds, and keep evidence of that contingency. (Records 4–6)</w:t>
      </w:r>
    </w:p>
    <w:p>
      <w:r>
        <w:rPr>
          <w:b/>
          <w:i/>
          <w:sz w:val="18"/>
        </w:rPr>
        <w:t xml:space="preserve">Technical source(s) for these steps: </w:t>
      </w:r>
    </w:p>
    <w:p>
      <w:pPr>
        <w:pStyle w:val="ListParagraph"/>
      </w:pPr>
      <w:hyperlink r:id="rId9">
        <w:r>
          <w:rPr>
            <w:color w:val="0563C1"/>
            <w:u w:val="single"/>
          </w:rPr>
          <w:t>International Organization for Standardization (2018). ISO 31000:2018 — Risk management — Guidelines.</w:t>
        </w:r>
      </w:hyperlink>
    </w:p>
    <w:p>
      <w:pPr>
        <w:pStyle w:val="Heading2"/>
      </w:pPr>
      <w:r>
        <w:t>5.3 Connect risk and quality work to hospital planning</w:t>
      </w:r>
    </w:p>
    <w:p>
      <w:r>
        <w:rPr>
          <w:b/>
          <w:i/>
        </w:rPr>
        <w:t xml:space="preserve">Why this step matters: </w:t>
      </w:r>
      <w:r>
        <w:rPr>
          <w:i/>
        </w:rPr>
        <w:t>Quality improvement, risk management and strategic planning run as three separate silos in most hospitals unless leadership actively links them — this record proves the real link exists in real documents, not just in leadership's stated intent. NABH checks this as part of how a functioning governance and leadership structure actually runs.</w:t>
      </w:r>
    </w:p>
    <w:p>
      <w:r>
        <w:t>1. Have the Quality Improvement Committee's minutes explicitly show where a risk finding fed into the quality-improvement plan — not two activities running in parallel with no link between them.</w:t>
      </w:r>
    </w:p>
    <w:p>
      <w:r>
        <w:t>2. Reference risk-management and quality work directly inside the strategic plan document, so the connection is visible on paper, not just assumed.</w:t>
      </w:r>
    </w:p>
    <w:p>
      <w:r>
        <w:t>3. Prepare a governance pack that shows this three-way link — risk, quality, and planning — for the governing body. (Records 7–9)</w:t>
      </w:r>
    </w:p>
    <w:p>
      <w:r>
        <w:rPr>
          <w:b/>
          <w:i/>
          <w:sz w:val="18"/>
        </w:rPr>
        <w:t xml:space="preserve">Technical source(s) for these steps: </w:t>
      </w:r>
    </w:p>
    <w:p>
      <w:pPr>
        <w:pStyle w:val="ListParagraph"/>
      </w:pPr>
      <w:hyperlink r:id="rId9">
        <w:r>
          <w:rPr>
            <w:color w:val="0563C1"/>
            <w:u w:val="single"/>
          </w:rPr>
          <w:t>International Organization for Standardization (2018). ISO 31000:2018 — Risk management — Guidelines.</w:t>
        </w:r>
      </w:hyperlink>
    </w:p>
    <w:p>
      <w:pPr>
        <w:pStyle w:val="Heading2"/>
      </w:pPr>
      <w:r>
        <w:t>5.4 Report serious failures, inside and outside the hospital</w:t>
      </w:r>
    </w:p>
    <w:p>
      <w:r>
        <w:rPr>
          <w:b/>
          <w:i/>
        </w:rPr>
        <w:t xml:space="preserve">Why this step matters: </w:t>
      </w:r>
      <w:r>
        <w:rPr>
          <w:i/>
        </w:rPr>
        <w:t>A system failure that's never reported — internally or to the right external agency — can repeat itself with worse consequences the second time, and an untested continuity plan is really just an unverified assumption — this record proves real failures were really reported through a real system, and the continuity plan was actually tested. NABH checks this as part of how a functioning governance and leadership structure actually runs.</w:t>
      </w:r>
    </w:p>
    <w:p>
      <w:r>
        <w:t>1. Write a reporting-system document naming exactly what gets reported, to whom internally, and to which external agency (e.g. AERB for a radiation-source event, the relevant pollution-control board for an environmental incident), with the timeline for each.</w:t>
      </w:r>
    </w:p>
    <w:p>
      <w:r>
        <w:t>2. Keep sampled internal and external failure reports actually filed under that system — an equipment breakdown report, an external-agency notification — as evidence the system is used, not just documented.</w:t>
      </w:r>
    </w:p>
    <w:p>
      <w:r>
        <w:t>3. Build and test a service-continuity plan covering both fire and non-fire emergencies for the hospital's critical operations, following the core structure of ISO 22301 business continuity management (identify critical activities, plan for their continuity, test the plan, learn from the test). (Records 10–12)</w:t>
      </w:r>
    </w:p>
    <w:p>
      <w:r>
        <w:rPr>
          <w:b/>
          <w:i/>
          <w:sz w:val="18"/>
        </w:rPr>
        <w:t xml:space="preserve">Technical source(s) for these steps: </w:t>
      </w:r>
    </w:p>
    <w:p>
      <w:pPr>
        <w:pStyle w:val="ListParagraph"/>
      </w:pPr>
      <w:hyperlink r:id="rId10">
        <w:r>
          <w:rPr>
            <w:color w:val="0563C1"/>
            <w:u w:val="single"/>
          </w:rPr>
          <w:t>International Organization for Standardization (2019). ISO 22301:2019 — Business continuity management systems — Requirements.</w:t>
        </w:r>
      </w:hyperlink>
    </w:p>
    <w:p>
      <w:pPr>
        <w:pStyle w:val="Heading2"/>
      </w:pPr>
      <w:r>
        <w:t>5.5 Put every outsourced service in writing</w:t>
      </w:r>
    </w:p>
    <w:p>
      <w:r>
        <w:rPr>
          <w:b/>
          <w:i/>
        </w:rPr>
        <w:t xml:space="preserve">Why this step matters: </w:t>
      </w:r>
      <w:r>
        <w:rPr>
          <w:i/>
        </w:rPr>
        <w:t>An outsourced service with no signed agreement naming real quality parameters and a real dispute-resolution method leaves the hospital with no real recourse when that vendor underperforms — this record proves a real signed agreement exists for every outsourced service, including any group/affiliate arrangement. NABH checks this as part of how a functioning governance and leadership structure actually runs.</w:t>
      </w:r>
    </w:p>
    <w:p>
      <w:r>
        <w:t>1. For every outsourced service, put a signed agreement in place naming the service parameters that matter — quality expectations, volumes/numbers, reporting requirements, timelines — and a dispute-resolution method, consistent with the core elements ISO 37500 sets out for a properly governed outsourcing relationship.</w:t>
      </w:r>
    </w:p>
    <w:p>
      <w:r>
        <w:t>2. Keep one current list of every outsourced service the hospital actually uses.</w:t>
      </w:r>
    </w:p>
    <w:p>
      <w:r>
        <w:t>3. Where a service is provided by an affiliate or group firm rather than a third party, confirm that arrangement also has its own agreement on file — an internal group relationship is not exempt from this. (Records 13–15)</w:t>
      </w:r>
    </w:p>
    <w:p>
      <w:r>
        <w:rPr>
          <w:b/>
          <w:i/>
          <w:sz w:val="18"/>
        </w:rPr>
        <w:t xml:space="preserve">Technical source(s) for these steps: </w:t>
      </w:r>
    </w:p>
    <w:p>
      <w:pPr>
        <w:pStyle w:val="ListParagraph"/>
      </w:pPr>
      <w:hyperlink r:id="rId11">
        <w:r>
          <w:rPr>
            <w:color w:val="0563C1"/>
            <w:u w:val="single"/>
          </w:rPr>
          <w:t>International Organization for Standardization (2014). ISO 37500:2014 — Guidance on outsourcing.</w:t>
        </w:r>
      </w:hyperlink>
    </w:p>
    <w:p>
      <w:pPr>
        <w:pStyle w:val="Heading2"/>
      </w:pPr>
      <w:r>
        <w:t>5.6 Check that outsourced vendors are actually delivering</w:t>
      </w:r>
    </w:p>
    <w:p>
      <w:r>
        <w:rPr>
          <w:b/>
          <w:i/>
        </w:rPr>
        <w:t xml:space="preserve">Why this step matters: </w:t>
      </w:r>
      <w:r>
        <w:rPr>
          <w:i/>
        </w:rPr>
        <w:t>An agreement that's signed and then never checked against real performance is worthless the moment the vendor starts cutting corners — this record proves the outsourced service is genuinely monitored at a real frequency, and that a real gap actually gets a real vendor improvement action. NABH checks this as part of how a functioning governance and leadership structure actually runs.</w:t>
      </w:r>
    </w:p>
    <w:p>
      <w:r>
        <w:t>1. Set a quality-monitoring review frequency for each outsourced service matched to how critical that service is (a life-safety service reviewed far more often than a low-risk one), following ISO 37500's principle of proportionate, ongoing outsourcing governance rather than a one-time sign-off.</w:t>
      </w:r>
    </w:p>
    <w:p>
      <w:r>
        <w:t>2. Where a monitoring review finds a gap, record a vendor improvement action and follow it to closure.</w:t>
      </w:r>
    </w:p>
    <w:p>
      <w:r>
        <w:t>3. Where a service is outsourced solely under a prescribed statutory norm that the NABH Guidebook itself exempts from monitoring, keep a documented exemption record explaining why — don't simply omit monitoring with no explanation on file. (Records 16–18)</w:t>
      </w:r>
    </w:p>
    <w:p>
      <w:r>
        <w:rPr>
          <w:b/>
          <w:i/>
          <w:sz w:val="18"/>
        </w:rPr>
        <w:t xml:space="preserve">Technical source(s) for these steps: </w:t>
      </w:r>
    </w:p>
    <w:p>
      <w:pPr>
        <w:pStyle w:val="ListParagraph"/>
      </w:pPr>
      <w:hyperlink r:id="rId11">
        <w:r>
          <w:rPr>
            <w:color w:val="0563C1"/>
            <w:u w:val="single"/>
          </w:rPr>
          <w:t>International Organization for Standardization (2014). ISO 37500:2014 — Guidance on outsourcing.</w:t>
        </w:r>
      </w:hyperlink>
    </w:p>
    <w:p>
      <w:pPr>
        <w:pStyle w:val="Heading1"/>
      </w:pPr>
      <w:r>
        <w:t>6. Records</w:t>
      </w:r>
    </w:p>
    <w:p>
      <w:r>
        <w:t>This SOP produces and maintains Records 1 through 18 (see the ROM.6 Records folder).</w:t>
      </w:r>
    </w:p>
    <w:p>
      <w:pPr>
        <w:pStyle w:val="Heading1"/>
      </w:pPr>
      <w:r>
        <w:t>7. Related Documents</w:t>
      </w:r>
    </w:p>
    <w:p>
      <w:pPr>
        <w:pStyle w:val="ListParagraph"/>
      </w:pPr>
      <w:r>
        <w:t>Policy on Patient Safety, Risk Management and Outsourced Services (HCO/ROM/POL/06) — this policy</w:t>
      </w:r>
    </w:p>
    <w:p>
      <w:pPr>
        <w:pStyle w:val="ListParagraph"/>
      </w:pPr>
      <w:r>
        <w:t>Required Records — ROM.6 (see ROM.6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ROM.6.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governing body, and immediately if there is a change in the governing body, its terms of reference, or the hospital's vision, mission or values.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65694.html" TargetMode="External"/><Relationship Id="rId10" Type="http://schemas.openxmlformats.org/officeDocument/2006/relationships/hyperlink" Target="https://www.iso.org/standard/75106.html" TargetMode="External"/><Relationship Id="rId11" Type="http://schemas.openxmlformats.org/officeDocument/2006/relationships/hyperlink" Target="https://www.iso.org/standard/562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