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Initial Assessment and Reassessment</w:t>
      </w:r>
    </w:p>
    <w:p>
      <w:pPr>
        <w:spacing w:after="240"/>
        <w:jc w:val="center"/>
      </w:pPr>
      <w:r>
        <w:rPr>
          <w:i/>
          <w:iCs/>
          <w:sz w:val="20"/>
          <w:szCs w:val="20"/>
        </w:rPr>
        <w:t xml:space="preserve">Assessment, care planning, reassessment and early warning.</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The chapter intent is that every patient receives a timely, documented assessment that drives a care plan, and that reassessment detects deterioration early.</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 xml:space="preserve">EWS — early warning score.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criteria. This policy begins after the patient is accepted.</w:t>
      </w:r>
    </w:p>
    <w:p>
      <w:pPr>
        <w:pStyle w:val="ListParagraph"/>
        <w:numPr>
          <w:ilvl w:val="0"/>
          <w:numId w:val="1"/>
        </w:numPr>
        <w:spacing w:after="60"/>
      </w:pPr>
      <w:r>
        <w:rPr>
          <w:sz w:val="22"/>
          <w:szCs w:val="22"/>
        </w:rPr>
        <w:t xml:space="preserve">AAC.7 owns continuity and handover communication. This policy owns the clinical assessment and reassessment that handover communicates.</w:t>
      </w:r>
    </w:p>
    <w:p>
      <w:pPr>
        <w:pStyle w:val="ListParagraph"/>
        <w:numPr>
          <w:ilvl w:val="0"/>
          <w:numId w:val="1"/>
        </w:numPr>
        <w:spacing w:after="60"/>
      </w:pPr>
      <w:r>
        <w:rPr>
          <w:sz w:val="22"/>
          <w:szCs w:val="22"/>
        </w:rPr>
        <w:t xml:space="preserve">AAC.4/AAC.5 own laboratory and imaging results. This policy owns that those results inform assessment and reassessment.</w:t>
      </w:r>
    </w:p>
    <w:p>
      <w:pPr>
        <w:pStyle w:val="ListParagraph"/>
        <w:numPr>
          <w:ilvl w:val="0"/>
          <w:numId w:val="1"/>
        </w:numPr>
        <w:spacing w:after="60"/>
      </w:pPr>
      <w:r>
        <w:rPr>
          <w:sz w:val="22"/>
          <w:szCs w:val="22"/>
        </w:rPr>
        <w:t xml:space="preserve">PSQ.2 owns quality indicators. Assessment timeliness and EWS compliance feed PSQ.2.</w:t>
      </w:r>
    </w:p>
    <w:p>
      <w:pPr>
        <w:pStyle w:val="ListParagraph"/>
        <w:numPr>
          <w:ilvl w:val="0"/>
          <w:numId w:val="1"/>
        </w:numPr>
        <w:spacing w:after="60"/>
      </w:pPr>
      <w:r>
        <w:rPr>
          <w:sz w:val="22"/>
          <w:szCs w:val="22"/>
        </w:rPr>
        <w:t xml:space="preserve">Spell out: early warning score (EWS), turnaround time (TAT).</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 xml:space="preserve">Root-cause analysis is required when the same assessment or EWS defect recurs within six months.</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CAPA — corrective and preventive action
EWS — early warning score
MEWS — modified early warning score
NABH — National Accreditation Board for Hospitals and Healthcare Providers
OE — objective element
SHCO — Standards for Small Healthcare Organisations
TAT — turnaround time</w:t>
      </w:r>
    </w:p>
    <w:p>
      <w:pPr>
        <w:pStyle w:val="Heading1"/>
        <w:spacing w:after="120" w:before="280"/>
      </w:pPr>
      <w:r>
        <w:t xml:space="preserve">13. Traceability to NABH SHCO 3rd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«AAC/POL/03»  |  Controlled document  |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