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Planned Facilities and Environment-Friendly Measures</w:t>
      </w:r>
    </w:p>
    <w:p>
      <w:pPr>
        <w:spacing w:after="240"/>
        <w:jc w:val="center"/>
      </w:pPr>
      <w:r>
        <w:rPr>
          <w:i/>
          <w:iCs/>
          <w:sz w:val="20"/>
          <w:szCs w:val="20"/>
        </w:rPr>
        <w:t xml:space="preserve">HCO Full Accreditation, 6th Edition — FMS.2.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organisation’s environment and facilities operate in a planned manner and promotes environment-friendly measures.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FMS.2: The organisation’s environment and facilities operate in a planned manner and promotes environment-friendly measures.</w:t>
      </w:r>
    </w:p>
    <w:p>
      <w:pPr>
        <w:spacing w:after="140"/>
      </w:pPr>
      <w:r>
        <w:rPr>
          <w:sz w:val="22"/>
          <w:szCs w:val="22"/>
        </w:rPr>
        <w:t xml:space="preserve">It covers objective elements FMS.2.a–f (6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FMS.2.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6 objective elements (FMS.2.a, FMS.2.b, FMS.2.c, FMS.2.d, FMS.2.e, FMS.2.f).</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FMS.2 so that the organisation’s environment and facilities operate in a planned manner and promotes environment-friendly measures.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Facilities and space provisions are appropriate to the scope of services.</w:t>
      </w:r>
    </w:p>
    <w:p>
      <w:pPr>
        <w:spacing w:after="80"/>
      </w:pPr>
      <w:r>
        <w:rPr>
          <w:sz w:val="22"/>
          <w:szCs w:val="22"/>
        </w:rPr>
        <w:t xml:space="preserve">2. Do not skip: As built and updated drawings are maintained as per statutory requirements.</w:t>
      </w:r>
    </w:p>
    <w:p>
      <w:pPr>
        <w:spacing w:after="80"/>
      </w:pPr>
      <w:r>
        <w:rPr>
          <w:sz w:val="22"/>
          <w:szCs w:val="22"/>
        </w:rPr>
        <w:t xml:space="preserve">3. Do not skip: There are internal and external sign postings in the organisation in a manner understood by the patient, fa...</w:t>
      </w:r>
    </w:p>
    <w:p>
      <w:pPr>
        <w:spacing w:after="80"/>
      </w:pPr>
      <w:r>
        <w:rPr>
          <w:sz w:val="22"/>
          <w:szCs w:val="22"/>
        </w:rPr>
        <w:t xml:space="preserve">4. Do not skip: Potable water and electricity are available round the clock.</w:t>
      </w:r>
    </w:p>
    <w:p>
      <w:pPr>
        <w:spacing w:after="80"/>
      </w:pPr>
      <w:r>
        <w:rPr>
          <w:sz w:val="22"/>
          <w:szCs w:val="22"/>
        </w:rPr>
        <w:t xml:space="preserve">5. Do not skip: Alternate sources for electricity and water are provided as a backup for any failure / shortage.</w:t>
      </w:r>
    </w:p>
    <w:p>
      <w:pPr>
        <w:spacing w:after="80"/>
      </w:pPr>
      <w:r>
        <w:rPr>
          <w:sz w:val="22"/>
          <w:szCs w:val="22"/>
        </w:rPr>
        <w:t xml:space="preserve">6. Do not skip: The organisation tests the functioning of these alternate sources at a predefined frequency.</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FMS.2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Facilities and space provisions are appropriate to the scope of services</w:t>
      </w:r>
    </w:p>
    <w:p>
      <w:pPr>
        <w:spacing w:after="140"/>
      </w:pPr>
      <w:r>
        <w:rPr>
          <w:sz w:val="22"/>
          <w:szCs w:val="22"/>
        </w:rPr>
        <w:t xml:space="preserve">Facilities and space provisions match the scope of services this hospital actually offers, using national or international guidance (including Atomic Energy Regulatory Board guidance where radiation services are in scope).</w:t>
      </w:r>
    </w:p>
    <w:p>
      <w:pPr>
        <w:spacing w:after="140"/>
      </w:pPr>
      <w:r>
        <w:rPr>
          <w:sz w:val="22"/>
          <w:szCs w:val="22"/>
        </w:rPr>
        <w:t xml:space="preserve">The «Engineering In-Charge» and «Medical Superintendent» keep the current space-vs-services map. A service listed without a matching space is escalated.</w:t>
      </w:r>
    </w:p>
    <w:p>
      <w:pPr>
        <w:spacing w:after="140"/>
      </w:pPr>
      <w:r>
        <w:rPr>
          <w:sz w:val="22"/>
          <w:szCs w:val="22"/>
        </w:rPr>
        <w:t xml:space="preserve">Method note (from guidebook interpretation): The basis of the appropriateness of facilities and space provisions will be as per the national/international guidelines. For example, regulatory requirements, the directive of Government agencies like AERB guidelines. The organisation endeavours to upgrade its physical infrastructure to meet national and international guidelines. The infrastructure and equipment shall be upgraded, commensurate with the scope and complexities of functioning.</w:t>
      </w:r>
    </w:p>
    <w:p>
      <w:pPr>
        <w:pStyle w:val="Heading2"/>
        <w:spacing w:after="100" w:before="220"/>
      </w:pPr>
      <w:r>
        <w:t xml:space="preserve">5.2 As built and updated drawings are maintained as per statutory require...</w:t>
      </w:r>
    </w:p>
    <w:p>
      <w:pPr>
        <w:spacing w:after="140"/>
      </w:pPr>
      <w:r>
        <w:rPr>
          <w:sz w:val="22"/>
          <w:szCs w:val="22"/>
        </w:rPr>
        <w:t xml:space="preserve">As-built and updated drawings are maintained as required by the applicable registering authority for this site: site layout, floor plans, floor-wise fire-evacuation plans, and separate civil, electrical, extra-low-voltage, plumbing, heating-ventilation-air-conditioning, piped medical-gas and information-technology drawings.</w:t>
      </w:r>
    </w:p>
    <w:p>
      <w:pPr>
        <w:spacing w:after="140"/>
      </w:pPr>
      <w:r>
        <w:rPr>
          <w:sz w:val="22"/>
          <w:szCs w:val="22"/>
        </w:rPr>
        <w:t xml:space="preserve">A named person under the «Engineering In-Charge» holds the current set. This element does not import a named Act as a checklist for the whole standard.</w:t>
      </w:r>
    </w:p>
    <w:p>
      <w:pPr>
        <w:spacing w:after="140"/>
      </w:pPr>
      <w:r>
        <w:rPr>
          <w:sz w:val="22"/>
          <w:szCs w:val="22"/>
        </w:rPr>
        <w:t xml:space="preserve">Method note (from guidebook interpretation): A designated person maintains as built and updated site layout, floor drawings, floor wise fire evacuation plans, separate civil, electrical, extra low voltage (ELV), plumbing, HVAC piped medical gas drawings and IT network.</w:t>
      </w:r>
    </w:p>
    <w:p>
      <w:pPr>
        <w:pStyle w:val="Heading2"/>
        <w:spacing w:after="100" w:before="220"/>
      </w:pPr>
      <w:r>
        <w:t xml:space="preserve">5.3 There are internal and external sign postings in the organisation in ...</w:t>
      </w:r>
    </w:p>
    <w:p>
      <w:pPr>
        <w:spacing w:after="140"/>
      </w:pPr>
      <w:r>
        <w:rPr>
          <w:sz w:val="22"/>
          <w:szCs w:val="22"/>
        </w:rPr>
        <w:t xml:space="preserve">Internal and external sign posting is in a manner patients, families and the community understand (language and/or pictorial; bilingual where this hospital defines). Signs meet applicable statutory posting rules for this site.</w:t>
      </w:r>
    </w:p>
    <w:p>
      <w:pPr>
        <w:spacing w:after="140"/>
      </w:pPr>
      <w:r>
        <w:rPr>
          <w:sz w:val="22"/>
          <w:szCs w:val="22"/>
        </w:rPr>
        <w:t xml:space="preserve">The «Engineering In-Charge» walks the signs «quarterly». This is a CORE element.</w:t>
      </w:r>
    </w:p>
    <w:p>
      <w:pPr>
        <w:spacing w:after="140"/>
      </w:pPr>
      <w:r>
        <w:rPr>
          <w:sz w:val="22"/>
          <w:szCs w:val="22"/>
        </w:rPr>
        <w:t xml:space="preserve">Method note (from guidebook interpretation): Manner implies language and/or pictorial signs. Signage could be bilingual and shall meet statutory requirements.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5.4 Potable water and electricity are available round the clock</w:t>
      </w:r>
    </w:p>
    <w:p>
      <w:pPr>
        <w:spacing w:after="140"/>
      </w:pPr>
      <w:r>
        <w:rPr>
          <w:sz w:val="22"/>
          <w:szCs w:val="22"/>
        </w:rPr>
        <w:t xml:space="preserve">Potable water and electricity are available round the clock. Potable-water quality is tested at the tap: biochemical at least once in three months and microbiological at least once a month, against the current IS 10500. Dialysis reverse-osmosis inlet water is tested for endotoxin «monthly» where dialysis is in scope.</w:t>
      </w:r>
    </w:p>
    <w:p>
      <w:pPr>
        <w:spacing w:after="140"/>
      </w:pPr>
      <w:r>
        <w:rPr>
          <w:sz w:val="22"/>
          <w:szCs w:val="22"/>
        </w:rPr>
        <w:t xml:space="preserve">A care area without water or power is a stop-work trigger (section 6). This is a CORE element.</w:t>
      </w:r>
    </w:p>
    <w:p>
      <w:pPr>
        <w:spacing w:after="140"/>
      </w:pPr>
      <w:r>
        <w:rPr>
          <w:sz w:val="22"/>
          <w:szCs w:val="22"/>
        </w:rPr>
        <w:t xml:space="preserve">Method note (from guidebook interpretation): The organisation shall make arrangements for the supply of adequate potable water and electricity. Potable water quality is monitored and documented. Water testing includes biochemical (once in three months) and microbiological analysis (once in a month). Water shall be collected at the user end (tap). For water quality, refer to the current version IS 10500. In case of an RO plant of the dialysis unit, the water from the inlet port of dialysis machine shall be tested for endotoxin levels every month to ensure that levels shall conform to national and/or international guidelines.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Alternate sources for electricity and water are provided as a backup ...</w:t>
      </w:r>
    </w:p>
    <w:p>
      <w:pPr>
        <w:spacing w:after="140"/>
      </w:pPr>
      <w:r>
        <w:rPr>
          <w:sz w:val="22"/>
          <w:szCs w:val="22"/>
        </w:rPr>
        <w:t xml:space="preserve">Alternate sources for electricity and water are provided as backup for any failure or shortage (diesel generator, solar, uninterruptible power supply; bore or tanker or extra tanks as this hospital names). Electric load matches demand. National Building Code is a reference for water quantity, not a paste of every clause.</w:t>
      </w:r>
    </w:p>
    <w:p>
      <w:pPr>
        <w:spacing w:after="140"/>
      </w:pPr>
      <w:r>
        <w:rPr>
          <w:sz w:val="22"/>
          <w:szCs w:val="22"/>
        </w:rPr>
        <w:t xml:space="preserve">The «Engineering In-Charge» owns the backup list. Critical areas have a named continuity action when supply fails.</w:t>
      </w:r>
    </w:p>
    <w:p>
      <w:pPr>
        <w:spacing w:after="140"/>
      </w:pPr>
      <w:r>
        <w:rPr>
          <w:sz w:val="22"/>
          <w:szCs w:val="22"/>
        </w:rPr>
        <w:t xml:space="preserve">Method note (from guidebook interpretation): The organisation shall ensure that there is sufficient water supply to meet the requirements. The electric load shall be appropriate to the requirements of the organisation and adhere to the regulatory requirements. Alternate sources for water and electricity shall be made available all the times. A good reference for estimating the water requirement is the National Building Code. Alternate electric supply could be from DG sets, solar energy, UPS and any other suitable source. The organisation identifies and mitigates the risk of critical areas/services during electrical supply failure, or when water is contaminated or interrupted. In case of electrical supply through alternate sources (Diesel generator or uninterrupted power supply), the capacity and longevity of power availability based on usage are considered. Alternate source of water can be bore/open well, supply through water tanker or extra storage tanks.</w:t>
      </w:r>
    </w:p>
    <w:p>
      <w:pPr>
        <w:pStyle w:val="Heading2"/>
        <w:spacing w:after="100" w:before="220"/>
      </w:pPr>
      <w:r>
        <w:t xml:space="preserve">5.6 The organisation tests the functioning of these alternate sources at ...</w:t>
      </w:r>
    </w:p>
    <w:p>
      <w:pPr>
        <w:spacing w:after="140"/>
      </w:pPr>
      <w:r>
        <w:rPr>
          <w:sz w:val="22"/>
          <w:szCs w:val="22"/>
        </w:rPr>
        <w:t xml:space="preserve">The organisation tests these alternate sources at a predefined frequency (default «monthly» for the diesel generator and a documented water-acceptance test when an emergency source is used). Results are recorded. Refer to FMS.2.d for water quality.</w:t>
      </w:r>
    </w:p>
    <w:p>
      <w:pPr>
        <w:spacing w:after="140"/>
      </w:pPr>
      <w:r>
        <w:rPr>
          <w:sz w:val="22"/>
          <w:szCs w:val="22"/>
        </w:rPr>
        <w:t xml:space="preserve">A backup that is never tested is not this element.</w:t>
      </w:r>
    </w:p>
    <w:p>
      <w:pPr>
        <w:spacing w:after="140"/>
      </w:pPr>
      <w:r>
        <w:rPr>
          <w:sz w:val="22"/>
          <w:szCs w:val="22"/>
        </w:rPr>
        <w:t xml:space="preserve">Method note (from guidebook interpretation): The results of these tests shall be documented. In case of water, if the organisation uses alternate sources for making up the shortfall, water testing shall be done on acceptance and at a pre-defined frequency. If the organisation uses alternate sources only as an emergency measure, water testing shall be done on acceptance. Water shall be collected for testing at the point where it is received from the source. Refer to FMS.2.d.</w:t>
      </w:r>
    </w:p>
    <w:p>
      <w:pPr>
        <w:pStyle w:val="Heading1"/>
        <w:spacing w:after="120" w:before="280"/>
      </w:pPr>
      <w:r>
        <w:t xml:space="preserve">6. Stop-work authority</w:t>
      </w:r>
    </w:p>
    <w:p>
      <w:pPr>
        <w:spacing w:after="140"/>
      </w:pPr>
      <w:r>
        <w:rPr>
          <w:sz w:val="22"/>
          <w:szCs w:val="22"/>
        </w:rPr>
        <w:t xml:space="preserve">Do not start or continue clinical care in an area that has no potable water or no electricity, unless the organisation has declared a FMS.7 emergency and the written service-continuity plan for that failure is running.</w:t>
      </w:r>
    </w:p>
    <w:p>
      <w:pPr>
        <w:spacing w:after="140"/>
      </w:pPr>
      <w:r>
        <w:rPr>
          <w:sz w:val="22"/>
          <w:szCs w:val="22"/>
        </w:rPr>
        <w:t xml:space="preserve">Stop-work applies to starting or continuing routine care in that area. Immediate life-saving care continues while water or power is restored or the patient is moved.</w:t>
      </w:r>
    </w:p>
    <w:p>
      <w:pPr>
        <w:spacing w:after="140"/>
      </w:pPr>
      <w:r>
        <w:rPr>
          <w:sz w:val="22"/>
          <w:szCs w:val="22"/>
        </w:rPr>
        <w:t xml:space="preserve">The person who stops tells the «Engineering In-Charge» and the «Medical Superintendent» the same shift. Refusing to run care without water or power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FMS.2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FMS.2.a–f.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(cd)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Planned Facilities and Environment-Friendly Measures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FMS.2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FMS.2.</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FMS.2</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Facilities and space provisions are appropriate to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 built and updated drawings are maintained as per statutory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internal and external sign postings in the organisation in a manner understood by the patient, families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Potable water and electricity are available round the clock.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electricity and water are provided as a backup for any failure / shortage.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tests the functioning of these alternate sources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FMS.2.a — Facilities and space provisions are appropriate to the scope of services.</w:t>
      </w:r>
    </w:p>
    <w:p>
      <w:pPr>
        <w:pStyle w:val="ListParagraph"/>
        <w:numPr>
          <w:ilvl w:val="0"/>
          <w:numId w:val="1"/>
        </w:numPr>
        <w:spacing w:after="60"/>
      </w:pPr>
      <w:r>
        <w:rPr>
          <w:sz w:val="22"/>
          <w:szCs w:val="22"/>
        </w:rPr>
        <w:t xml:space="preserve">Records showing FMS.2.a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FMS.2.a reviewed «quarterly».</w:t>
      </w:r>
    </w:p>
    <w:p>
      <w:pPr>
        <w:pStyle w:val="Heading2"/>
        <w:spacing w:after="100" w:before="220"/>
      </w:pPr>
      <w:r>
        <w:t xml:space="preserve">FMS.2.b — As built and updated drawings are maintained as per statutory requirements.</w:t>
      </w:r>
    </w:p>
    <w:p>
      <w:pPr>
        <w:pStyle w:val="ListParagraph"/>
        <w:numPr>
          <w:ilvl w:val="0"/>
          <w:numId w:val="1"/>
        </w:numPr>
        <w:spacing w:after="60"/>
      </w:pPr>
      <w:r>
        <w:rPr>
          <w:sz w:val="22"/>
          <w:szCs w:val="22"/>
        </w:rPr>
        <w:t xml:space="preserve">Records showing FMS.2.b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FMS.2.b reviewed «quarterly».</w:t>
      </w:r>
    </w:p>
    <w:p>
      <w:pPr>
        <w:pStyle w:val="Heading2"/>
        <w:spacing w:after="100" w:before="220"/>
      </w:pPr>
      <w:r>
        <w:t xml:space="preserve">FMS.2.c — There are internal and external sign postings in the organisation in a manner understood by the patient, families and community.</w:t>
      </w:r>
    </w:p>
    <w:p>
      <w:pPr>
        <w:pStyle w:val="ListParagraph"/>
        <w:numPr>
          <w:ilvl w:val="0"/>
          <w:numId w:val="1"/>
        </w:numPr>
        <w:spacing w:after="60"/>
      </w:pPr>
      <w:r>
        <w:rPr>
          <w:sz w:val="22"/>
          <w:szCs w:val="22"/>
        </w:rPr>
        <w:t xml:space="preserve">Records showing FMS.2.c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FMS.2.d — Potable water and electricity are available round the clock.</w:t>
      </w:r>
    </w:p>
    <w:p>
      <w:pPr>
        <w:pStyle w:val="ListParagraph"/>
        <w:numPr>
          <w:ilvl w:val="0"/>
          <w:numId w:val="1"/>
        </w:numPr>
        <w:spacing w:after="60"/>
      </w:pPr>
      <w:r>
        <w:rPr>
          <w:sz w:val="22"/>
          <w:szCs w:val="22"/>
        </w:rPr>
        <w:t xml:space="preserve">Records showing FMS.2.d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FMS.2.e — Alternate sources for electricity and water are provided as a backup for any failure / shortage.</w:t>
      </w:r>
    </w:p>
    <w:p>
      <w:pPr>
        <w:pStyle w:val="ListParagraph"/>
        <w:numPr>
          <w:ilvl w:val="0"/>
          <w:numId w:val="1"/>
        </w:numPr>
        <w:spacing w:after="60"/>
      </w:pPr>
      <w:r>
        <w:rPr>
          <w:sz w:val="22"/>
          <w:szCs w:val="22"/>
        </w:rPr>
        <w:t xml:space="preserve">Records showing FMS.2.e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FMS.2.e reviewed «quarterly».</w:t>
      </w:r>
    </w:p>
    <w:p>
      <w:pPr>
        <w:pStyle w:val="Heading2"/>
        <w:spacing w:after="100" w:before="220"/>
      </w:pPr>
      <w:r>
        <w:t xml:space="preserve">FMS.2.f — The organisation tests the functioning of these alternate sources at a predefined frequency.</w:t>
      </w:r>
    </w:p>
    <w:p>
      <w:pPr>
        <w:pStyle w:val="ListParagraph"/>
        <w:numPr>
          <w:ilvl w:val="0"/>
          <w:numId w:val="1"/>
        </w:numPr>
        <w:spacing w:after="60"/>
      </w:pPr>
      <w:r>
        <w:rPr>
          <w:sz w:val="22"/>
          <w:szCs w:val="22"/>
        </w:rPr>
        <w:t xml:space="preserve">Records showing FMS.2.f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FMS.2.f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«HCO/FMS/POL/02»  |  Controlled document  |  Planned Facilities and Environment-Friendly Measures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2026-08-21T09:00:45.232Z</dcterms:created>
  <dcterms:modified xsi:type="dcterms:W3CDTF">2026-08-21T09:00:45.232Z</dcterms:modified>
</cp:coreProperties>
</file>

<file path=docProps/custom.xml><?xml version="1.0" encoding="utf-8"?>
<Properties xmlns="http://schemas.openxmlformats.org/officeDocument/2006/custom-properties" xmlns:vt="http://schemas.openxmlformats.org/officeDocument/2006/docPropsVTypes"/>
</file>