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Confidentiality, Integrity and Security of Records, Data and Information</w:t>
      </w:r>
    </w:p>
    <w:p>
      <w:pPr>
        <w:spacing w:after="240"/>
        <w:jc w:val="center"/>
      </w:pPr>
      <w:r>
        <w:rPr>
          <w:i/>
          <w:iCs/>
          <w:sz w:val="20"/>
          <w:szCs w:val="20"/>
        </w:rPr>
        <w:t xml:space="preserve">Confidentiality, integrity, security, disclosure gate and consistent access requests.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spacing w:after="140"/>
      </w:pPr>
      <w:r>
        <w:rPr>
          <w:sz w:val="22"/>
          <w:szCs w:val="22"/>
        </w:rPr>
        <w:t xml:space="preserve">The chapter intent is that confidentiality of protected health information is paramount and is safeguarded across all information processing, storing and disseminating platforms.</w:t>
      </w:r>
    </w:p>
    <w:p>
      <w:pPr>
        <w:spacing w:after="140"/>
      </w:pPr>
      <w:r>
        <w:rPr>
          <w:sz w:val="22"/>
          <w:szCs w:val="22"/>
        </w:rPr>
        <w:t xml:space="preserve">IMS.4 owns patient medical records and general organisational information. HRM.6 owns confidentiality of staff personal files. PRE.2 owns the patient's right of access to records; this policy owns how access requests are processed.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spacing w:after="140"/>
      </w:pPr>
      <w:r>
        <w:rPr>
          <w:sz w:val="22"/>
          <w:szCs w:val="22"/>
        </w:rPr>
        <w:t xml:space="preserve">It covers the five elements IMS.4.a–e. It does not cover medical-record contents (IMS.2), continuity items (IMS.3),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confidentiality of staff personal files. This policy owns patient medical records and general information (not staff HR files).</w:t>
      </w:r>
    </w:p>
    <w:p>
      <w:pPr>
        <w:pStyle w:val="ListParagraph"/>
        <w:numPr>
          <w:ilvl w:val="0"/>
          <w:numId w:val="1"/>
        </w:numPr>
        <w:spacing w:after="60"/>
      </w:pPr>
      <w:r>
        <w:rPr>
          <w:sz w:val="22"/>
          <w:szCs w:val="22"/>
        </w:rPr>
        <w:t xml:space="preserve">PRE.2 owns the patient's right of access to records. This policy owns the consistent process for access requests by patients, physicians and public agencies (IMS.4.e).</w:t>
      </w:r>
    </w:p>
    <w:p>
      <w:pPr>
        <w:pStyle w:val="ListParagraph"/>
        <w:numPr>
          <w:ilvl w:val="0"/>
          <w:numId w:val="1"/>
        </w:numPr>
        <w:spacing w:after="60"/>
      </w:pPr>
      <w:r>
        <w:rPr>
          <w:sz w:val="22"/>
          <w:szCs w:val="22"/>
        </w:rPr>
        <w:t xml:space="preserve">IMS.1.d owns contribution to external databases in accordance with law and regulations. A contribution that includes privileged health information also meets this policy's disclosure gate (IMS.4.d).</w:t>
      </w:r>
    </w:p>
    <w:p>
      <w:pPr>
        <w:pStyle w:val="ListParagraph"/>
        <w:numPr>
          <w:ilvl w:val="0"/>
          <w:numId w:val="1"/>
        </w:numPr>
        <w:spacing w:after="60"/>
      </w:pPr>
      <w:r>
        <w:rPr>
          <w:sz w:val="22"/>
          <w:szCs w:val="22"/>
        </w:rPr>
        <w:t xml:space="preserve">IMS.3.f owns care-provider access for care. This policy owns that such access is confidential, integral and secure.</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 xml:space="preserve">IMS.4.a is asterisked: confidentiality is a documented method (need-to-know, storage, role restriction), not a poster.</w:t>
      </w:r>
    </w:p>
    <w:p>
      <w:pPr>
        <w:spacing w:after="140"/>
      </w:pPr>
      <w:r>
        <w:rPr>
          <w:sz w:val="22"/>
          <w:szCs w:val="22"/>
        </w:rPr>
        <w:t xml:space="preserve">HRM.6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 xml:space="preserve">Integrity means the record remains complete and unaltered except by an authenticated correction. Paper corrections follow IMS.2.d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 xml:space="preserve">IMS.4.b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 xml:space="preserve">IMS.4.c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 xml:space="preserve">IMS.1.d contributions to external databases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 xml:space="preserve">2. Decide the pathway: patient (or authorised representative) — PRE.2 right of access, processed here; treating physician involved in care — IMS.3.f;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 xml:space="preserve">IMS.4.e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IMS.4.</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ABDM — Ayushman Bharat Digital Mission
CAPA — corrective and preventive action
EHR — electronic health record
IMS — Information Management System (NABH SHCO chapter 10)
IT — information technology
NABH — National Accreditation Board for Hospitals and Healthcare Providers
OE — objective element
SHCO — Standards for Small Healthcare Organisations</w:t>
      </w:r>
    </w:p>
    <w:p>
      <w:pPr>
        <w:pStyle w:val="Heading1"/>
        <w:spacing w:after="120" w:before="280"/>
      </w:pPr>
      <w:r>
        <w:t xml:space="preserve">13. Traceability to NABH SHCO 3rd Edition IMS.4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«IMS/POL/04»  |  Controlled document  |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