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Information Needs of Stakeholders — Capture and Analysis of Data</w:t>
      </w:r>
    </w:p>
    <w:p>
      <w:pPr>
        <w:spacing w:after="240"/>
        <w:jc w:val="center"/>
      </w:pPr>
      <w:r>
        <w:rPr>
          <w:i/>
          <w:iCs/>
          <w:sz w:val="20"/>
          <w:szCs w:val="20"/>
        </w:rPr>
        <w:t xml:space="preserve">Information needs, data capture, storage, retrieval and analysis.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right information is available to the right person at the right time — stakeholder information needs are identified, captured and disseminated, and data is stored, retrieved and analysed against those needs.</w:t>
      </w:r>
    </w:p>
    <w:p>
      <w:pPr>
        <w:pStyle w:val="Heading1"/>
        <w:spacing w:after="120" w:before="280"/>
      </w:pPr>
      <w:r>
        <w:t xml:space="preserve">1. Purpose</w:t>
      </w:r>
    </w:p>
    <w:p>
      <w:pPr>
        <w:spacing w:after="140"/>
      </w:pPr>
      <w:r>
        <w:rPr>
          <w:sz w:val="22"/>
          <w:szCs w:val="22"/>
        </w:rPr>
        <w:t xml:space="preserve">This policy describes how Preview Hospital identifies, captures and disseminates the information needs of patients, visitors, staff, management, external agencies and the community; aligns information-management and technology acquisitions with those needs; stores and retrieves data accordingly; contributes to external databases in accordance with law and regulations; and standardises data collection so that data can be analysed.</w:t>
      </w:r>
    </w:p>
    <w:p>
      <w:pPr>
        <w:spacing w:after="140"/>
      </w:pPr>
      <w:r>
        <w:rPr>
          <w:sz w:val="22"/>
          <w:szCs w:val="22"/>
        </w:rPr>
        <w:t xml:space="preserve">The chapter intent is that the right information is available to the right person at the right time, in an authenticated, secure and accurate manner.</w:t>
      </w:r>
    </w:p>
    <w:p>
      <w:pPr>
        <w:spacing w:after="140"/>
      </w:pPr>
      <w:r>
        <w:rPr>
          <w:sz w:val="22"/>
          <w:szCs w:val="22"/>
        </w:rPr>
        <w:t xml:space="preserve">IMS.1 owns the information-needs system and the data-capture/analysis method. IMS.2 owns the medical record itself. IMS.4 owns confidentiality, integrity and security. IMS.5 owns document control and retention.</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«Medical Records Officer» (or the person carrying that role), the «IT / information-systems in-charge», the Medical Superintendent, the Quality Coordinator, and staff who collect or use organisational information at Preview Hospital.</w:t>
      </w:r>
    </w:p>
    <w:p>
      <w:pPr>
        <w:spacing w:after="140"/>
      </w:pPr>
      <w:r>
        <w:rPr>
          <w:sz w:val="22"/>
          <w:szCs w:val="22"/>
        </w:rPr>
        <w:t xml:space="preserve">It covers the five elements IMS.1.a–e. It does not cover medical-record contents (IMS.2), continuity entries (IMS.3), confidentiality/security mechanics (IMS.4), retention and destruction (IMS.5), or medical-record review (IMS.6).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IMS.2 owns the complete and accurate medical record. This policy owns organisation-wide information needs and data analysis, not the clinical-record form.</w:t>
      </w:r>
    </w:p>
    <w:p>
      <w:pPr>
        <w:pStyle w:val="ListParagraph"/>
        <w:numPr>
          <w:ilvl w:val="0"/>
          <w:numId w:val="1"/>
        </w:numPr>
        <w:spacing w:after="60"/>
      </w:pPr>
      <w:r>
        <w:rPr>
          <w:sz w:val="22"/>
          <w:szCs w:val="22"/>
        </w:rPr>
        <w:t xml:space="preserve">PSQ.2 owns key indicators. This policy owns that data collection is standardised so those indicators (and other needs) can be met.</w:t>
      </w:r>
    </w:p>
    <w:p>
      <w:pPr>
        <w:pStyle w:val="ListParagraph"/>
        <w:numPr>
          <w:ilvl w:val="0"/>
          <w:numId w:val="1"/>
        </w:numPr>
        <w:spacing w:after="60"/>
      </w:pPr>
      <w:r>
        <w:rPr>
          <w:sz w:val="22"/>
          <w:szCs w:val="22"/>
        </w:rPr>
        <w:t xml:space="preserve">IMS.4 owns confidentiality when information is disseminated. This policy owns who needs what information, not the disclosure gate.</w:t>
      </w:r>
    </w:p>
    <w:p>
      <w:pPr>
        <w:pStyle w:val="ListParagraph"/>
        <w:numPr>
          <w:ilvl w:val="0"/>
          <w:numId w:val="1"/>
        </w:numPr>
        <w:spacing w:after="60"/>
      </w:pPr>
      <w:r>
        <w:rPr>
          <w:sz w:val="22"/>
          <w:szCs w:val="22"/>
        </w:rPr>
        <w:t xml:space="preserve">External-database contribution is done in accordance with law and regulations. This policy does not import a named Act as a checklist.</w:t>
      </w:r>
    </w:p>
    <w:p>
      <w:pPr>
        <w:pStyle w:val="Heading1"/>
        <w:spacing w:after="120" w:before="280"/>
      </w:pPr>
      <w:r>
        <w:t xml:space="preserve">3. Policy standards</w:t>
      </w:r>
    </w:p>
    <w:p>
      <w:pPr>
        <w:spacing w:after="140"/>
      </w:pPr>
      <w:r>
        <w:rPr>
          <w:sz w:val="22"/>
          <w:szCs w:val="22"/>
        </w:rPr>
        <w:t xml:space="preserve">Preview Hospital identifies, captures and disseminates the information needs of patients, visitors, staff, management, external agencies and the community.</w:t>
      </w:r>
    </w:p>
    <w:p>
      <w:pPr>
        <w:spacing w:after="140"/>
      </w:pPr>
      <w:r>
        <w:rPr>
          <w:sz w:val="22"/>
          <w:szCs w:val="22"/>
        </w:rPr>
        <w:t xml:space="preserve">Information-management and technology acquisitions and the maintenance plan are in consonance with those identified needs. Data is stored and retrieved according to those needs.</w:t>
      </w:r>
    </w:p>
    <w:p>
      <w:pPr>
        <w:spacing w:after="140"/>
      </w:pPr>
      <w:r>
        <w:rPr>
          <w:sz w:val="22"/>
          <w:szCs w:val="22"/>
        </w:rPr>
        <w:t xml:space="preserve">Preview Hospital contributes to external databases in accordance with law and regulations. Processes for data collection are standardised, and data is analysed to meet the information needs.</w:t>
      </w:r>
    </w:p>
    <w:p>
      <w:pPr>
        <w:spacing w:after="140"/>
      </w:pPr>
      <w:r>
        <w:rPr>
          <w:sz w:val="22"/>
          <w:szCs w:val="22"/>
        </w:rPr>
        <w:t xml:space="preserve">Preview Hospital does not buy or keep an information system that does not match identified needs, and does not collect data that nobody uses.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current, documented map of information needs covering patients, visitors, staff, management, external agencies and the community.</w:t>
      </w:r>
    </w:p>
    <w:p>
      <w:pPr>
        <w:spacing w:after="80"/>
      </w:pPr>
      <w:r>
        <w:rPr>
          <w:sz w:val="22"/>
          <w:szCs w:val="22"/>
        </w:rPr>
        <w:t xml:space="preserve">2. Acquiring or maintaining an information-management or technology system that is not matched to the identified information needs.</w:t>
      </w:r>
    </w:p>
    <w:p>
      <w:pPr>
        <w:spacing w:after="80"/>
      </w:pPr>
      <w:r>
        <w:rPr>
          <w:sz w:val="22"/>
          <w:szCs w:val="22"/>
        </w:rPr>
        <w:t xml:space="preserve">3. Storing data that cannot be retrieved when a documented information need requires it.</w:t>
      </w:r>
    </w:p>
    <w:p>
      <w:pPr>
        <w:spacing w:after="80"/>
      </w:pPr>
      <w:r>
        <w:rPr>
          <w:sz w:val="22"/>
          <w:szCs w:val="22"/>
        </w:rPr>
        <w:t xml:space="preserve">4. Contributing patient or organisational data to an external database without a recorded legal or regulatory basis.</w:t>
      </w:r>
    </w:p>
    <w:p>
      <w:pPr>
        <w:spacing w:after="80"/>
      </w:pPr>
      <w:r>
        <w:rPr>
          <w:sz w:val="22"/>
          <w:szCs w:val="22"/>
        </w:rPr>
        <w:t xml:space="preserve">5. Collecting the same data by different methods in different departments so that it cannot be analysed.</w:t>
      </w:r>
    </w:p>
    <w:p>
      <w:pPr>
        <w:spacing w:after="140"/>
      </w:pPr>
      <w:r>
        <w:rPr>
          <w:sz w:val="22"/>
          <w:szCs w:val="22"/>
        </w:rPr>
        <w:t xml:space="preserve">Staff who identify one of these gaps report it to the «Medical Records Officer» or the «Quality Coordinator» within the same working week.</w:t>
      </w:r>
    </w:p>
    <w:p>
      <w:pPr>
        <w:pStyle w:val="Heading1"/>
        <w:spacing w:after="120" w:before="280"/>
      </w:pPr>
      <w:r>
        <w:t xml:space="preserve">5. What we do</w:t>
      </w:r>
    </w:p>
    <w:p>
      <w:pPr>
        <w:pStyle w:val="Heading2"/>
        <w:spacing w:after="100" w:before="220"/>
      </w:pPr>
      <w:r>
        <w:t xml:space="preserve">5.1 Identify, capture and disseminate information needs</w:t>
      </w:r>
    </w:p>
    <w:p>
      <w:pPr>
        <w:spacing w:after="140"/>
      </w:pPr>
      <w:r>
        <w:rPr>
          <w:sz w:val="22"/>
          <w:szCs w:val="22"/>
        </w:rPr>
        <w:t xml:space="preserve">Preview Hospital identifies, captures and disseminates the information needs of patients, visitors, staff, management, external agencies and the community.</w:t>
      </w:r>
    </w:p>
    <w:p>
      <w:pPr>
        <w:spacing w:after="140"/>
      </w:pPr>
      <w:r>
        <w:rPr>
          <w:sz w:val="22"/>
          <w:szCs w:val="22"/>
        </w:rPr>
        <w:t xml:space="preserve">The «Medical Records Officer» holds an information-needs register. The register lists, for each stakeholder group:</w:t>
      </w:r>
    </w:p>
    <w:p>
      <w:pPr>
        <w:pStyle w:val="ListParagraph"/>
        <w:numPr>
          <w:ilvl w:val="0"/>
          <w:numId w:val="1"/>
        </w:numPr>
        <w:spacing w:after="60"/>
      </w:pPr>
      <w:r>
        <w:rPr>
          <w:sz w:val="22"/>
          <w:szCs w:val="22"/>
        </w:rPr>
        <w:t xml:space="preserve">what information they need (for example waiting times and visiting hours for patients and visitors; duty rosters and protocols for staff; occupancy and quality indicators for management; statutory returns for external agencies; public-health notices for the community);</w:t>
      </w:r>
    </w:p>
    <w:p>
      <w:pPr>
        <w:pStyle w:val="ListParagraph"/>
        <w:numPr>
          <w:ilvl w:val="0"/>
          <w:numId w:val="1"/>
        </w:numPr>
        <w:spacing w:after="60"/>
      </w:pPr>
      <w:r>
        <w:rPr>
          <w:sz w:val="22"/>
          <w:szCs w:val="22"/>
        </w:rPr>
        <w:t xml:space="preserve">the source of that information;</w:t>
      </w:r>
    </w:p>
    <w:p>
      <w:pPr>
        <w:pStyle w:val="ListParagraph"/>
        <w:numPr>
          <w:ilvl w:val="0"/>
          <w:numId w:val="1"/>
        </w:numPr>
        <w:spacing w:after="60"/>
      </w:pPr>
      <w:r>
        <w:rPr>
          <w:sz w:val="22"/>
          <w:szCs w:val="22"/>
        </w:rPr>
        <w:t xml:space="preserve">who disseminates it, by what channel (notice board, counselling, intranet, statutory portal), and how often.</w:t>
      </w:r>
    </w:p>
    <w:p>
      <w:pPr>
        <w:spacing w:after="140"/>
      </w:pPr>
      <w:r>
        <w:rPr>
          <w:sz w:val="22"/>
          <w:szCs w:val="22"/>
        </w:rPr>
        <w:t xml:space="preserve">The register is reviewed «annually» and when a new service, a new statutory return or a significant change in patient mix is introduced. Obsolete information is withdrawn so that staff, patients and visitors are not confused by out-of-date notices (chapter intent).</w:t>
      </w:r>
    </w:p>
    <w:p>
      <w:pPr>
        <w:spacing w:after="140"/>
      </w:pPr>
      <w:r>
        <w:rPr>
          <w:sz w:val="22"/>
          <w:szCs w:val="22"/>
        </w:rPr>
        <w:t xml:space="preserve">IMS.1.a is asterisked: the register is a documented method, not a remembered list.</w:t>
      </w:r>
    </w:p>
    <w:p>
      <w:pPr>
        <w:pStyle w:val="Heading2"/>
        <w:spacing w:after="100" w:before="220"/>
      </w:pPr>
      <w:r>
        <w:t xml:space="preserve">5.2 Information-management and technology acquisitions and maintenance</w:t>
      </w:r>
    </w:p>
    <w:p>
      <w:pPr>
        <w:spacing w:after="140"/>
      </w:pPr>
      <w:r>
        <w:rPr>
          <w:sz w:val="22"/>
          <w:szCs w:val="22"/>
        </w:rPr>
        <w:t xml:space="preserve">Information management and technology acquisitions and the maintenance plan are in consonance with the identified information needs.</w:t>
      </w:r>
    </w:p>
    <w:p>
      <w:pPr>
        <w:spacing w:after="140"/>
      </w:pPr>
      <w:r>
        <w:rPr>
          <w:sz w:val="22"/>
          <w:szCs w:val="22"/>
        </w:rPr>
        <w:t xml:space="preserve">Before Preview Hospital buys, upgrades or renews a hospital information system, electronic health record (EHR) module, laboratory or imaging interface, or related hardware, the «IT / information-systems in-charge» checks the proposal against the information-needs register. A purchase that does not serve a documented need is not approved.</w:t>
      </w:r>
    </w:p>
    <w:p>
      <w:pPr>
        <w:spacing w:after="140"/>
      </w:pPr>
      <w:r>
        <w:rPr>
          <w:sz w:val="22"/>
          <w:szCs w:val="22"/>
        </w:rPr>
        <w:t xml:space="preserve">A maintenance plan covers backups, user support, version control and planned downtime. The plan is held by the «IT / information-systems in-charge» and reviewed «annually» with the Medical Records Officer.</w:t>
      </w:r>
    </w:p>
    <w:p>
      <w:pPr>
        <w:spacing w:after="140"/>
      </w:pPr>
      <w:r>
        <w:rPr>
          <w:sz w:val="22"/>
          <w:szCs w:val="22"/>
        </w:rPr>
        <w:t xml:space="preserve">Guidance the PDF cites for this chapter (EHR Standards for India 2016; Ayushman Bharat Digital Mission (ABDM) Health Data Management Policy; ISO 27001 / ISO 27799) is used as guidance for acquisitions, not as a copied statute.</w:t>
      </w:r>
    </w:p>
    <w:p>
      <w:pPr>
        <w:pStyle w:val="Heading2"/>
        <w:spacing w:after="100" w:before="220"/>
      </w:pPr>
      <w:r>
        <w:t xml:space="preserve">5.3 Store and retrieve data according to information needs</w:t>
      </w:r>
    </w:p>
    <w:p>
      <w:pPr>
        <w:spacing w:after="140"/>
      </w:pPr>
      <w:r>
        <w:rPr>
          <w:sz w:val="22"/>
          <w:szCs w:val="22"/>
        </w:rPr>
        <w:t xml:space="preserve">Preview Hospital stores and retrieves data according to its information needs.</w:t>
      </w:r>
    </w:p>
    <w:p>
      <w:pPr>
        <w:spacing w:after="140"/>
      </w:pPr>
      <w:r>
        <w:rPr>
          <w:sz w:val="22"/>
          <w:szCs w:val="22"/>
        </w:rPr>
        <w:t xml:space="preserve">Each entry on the information-needs register names where the data lives (paper file, EHR module, indicator spreadsheet, statutory portal) and how an authorised person retrieves it. Retrieval is tested «quarterly» for a sample of needs — including at least one clinical retrieval and one management retrieval.</w:t>
      </w:r>
    </w:p>
    <w:p>
      <w:pPr>
        <w:spacing w:after="140"/>
      </w:pPr>
      <w:r>
        <w:rPr>
          <w:sz w:val="22"/>
          <w:szCs w:val="22"/>
        </w:rPr>
        <w:t xml:space="preserve">Storage media, whether paper or electronic, are labelled and indexed so that a named record can be found without searching the whole store. IMS.5 owns retention periods and document control; this step owns that stored data can be retrieved to meet a current need.</w:t>
      </w:r>
    </w:p>
    <w:p>
      <w:pPr>
        <w:spacing w:after="140"/>
      </w:pPr>
      <w:r>
        <w:rPr>
          <w:sz w:val="22"/>
          <w:szCs w:val="22"/>
        </w:rPr>
        <w:t xml:space="preserve">IMS.1.c is asterisked: storage without retrievability fails the OE.</w:t>
      </w:r>
    </w:p>
    <w:p>
      <w:pPr>
        <w:pStyle w:val="Heading2"/>
        <w:spacing w:after="100" w:before="220"/>
      </w:pPr>
      <w:r>
        <w:t xml:space="preserve">5.4 Contribute to external databases in accordance with law and regulations</w:t>
      </w:r>
    </w:p>
    <w:p>
      <w:pPr>
        <w:spacing w:after="140"/>
      </w:pPr>
      <w:r>
        <w:rPr>
          <w:sz w:val="22"/>
          <w:szCs w:val="22"/>
        </w:rPr>
        <w:t xml:space="preserve">Preview Hospital contributes to external databases in accordance with the law and regulations.</w:t>
      </w:r>
    </w:p>
    <w:p>
      <w:pPr>
        <w:spacing w:after="140"/>
      </w:pPr>
      <w:r>
        <w:rPr>
          <w:sz w:val="22"/>
          <w:szCs w:val="22"/>
        </w:rPr>
        <w:t xml:space="preserve">The «Medical Records Officer» keeps a register of external databases the hospital contributes to. Each entry states: the database, the data sent, the frequency, the legal or regulatory basis, and who submits it. Contribution without a recorded basis does not occur.</w:t>
      </w:r>
    </w:p>
    <w:p>
      <w:pPr>
        <w:spacing w:after="140"/>
      </w:pPr>
      <w:r>
        <w:rPr>
          <w:sz w:val="22"/>
          <w:szCs w:val="22"/>
        </w:rPr>
        <w:t xml:space="preserve">The PDF frames contribution as "in accordance with the law and regulations." This step stays at that general level. It does not import a named data-protection Act as a checklist. Examples of databases a small hospital may be required or authorised to contribute to include «notifiable-disease reporting and haemovigilance returns where those programmes apply». The hospital verifies which returns apply to it.</w:t>
      </w:r>
    </w:p>
    <w:p>
      <w:pPr>
        <w:spacing w:after="140"/>
      </w:pPr>
      <w:r>
        <w:rPr>
          <w:sz w:val="22"/>
          <w:szCs w:val="22"/>
        </w:rPr>
        <w:t xml:space="preserve">IMS.4 owns the disclosure gate for privileged health information. A contribution that includes patient-identifiable data also meets IMS.4.d (patient authorisation and/or as required by law).</w:t>
      </w:r>
    </w:p>
    <w:p>
      <w:pPr>
        <w:pStyle w:val="Heading2"/>
        <w:spacing w:after="100" w:before="220"/>
      </w:pPr>
      <w:r>
        <w:t xml:space="preserve">5.5 Standardised data collection and analysis</w:t>
      </w:r>
    </w:p>
    <w:p>
      <w:pPr>
        <w:spacing w:after="140"/>
      </w:pPr>
      <w:r>
        <w:rPr>
          <w:sz w:val="22"/>
          <w:szCs w:val="22"/>
        </w:rPr>
        <w:t xml:space="preserve">Processes for data collection are standardised and data is analysed to meet the information needs.</w:t>
      </w:r>
    </w:p>
    <w:p>
      <w:pPr>
        <w:spacing w:after="140"/>
      </w:pPr>
      <w:r>
        <w:rPr>
          <w:sz w:val="22"/>
          <w:szCs w:val="22"/>
        </w:rPr>
        <w:t xml:space="preserve">The «Quality Coordinator» and the «Medical Records Officer» issue a data-definition sheet for each data item used to meet an information need: definition, source, collector, frequency, and the analysis it feeds. Departments do not invent parallel definitions.</w:t>
      </w:r>
    </w:p>
    <w:p>
      <w:pPr>
        <w:spacing w:after="140"/>
      </w:pPr>
      <w:r>
        <w:rPr>
          <w:sz w:val="22"/>
          <w:szCs w:val="22"/>
        </w:rPr>
        <w:t xml:space="preserve">Data is analysed at the interval the information-needs register sets — «monthly» for operational needs and «quarterly» for management and quality needs. Analysis output is disseminated to the stakeholder named on the register.</w:t>
      </w:r>
    </w:p>
    <w:p>
      <w:pPr>
        <w:spacing w:after="140"/>
      </w:pPr>
      <w:r>
        <w:rPr>
          <w:sz w:val="22"/>
          <w:szCs w:val="22"/>
        </w:rPr>
        <w:t xml:space="preserve">PSQ.2 owns the key-indicator set. This step owns that collection is standardised so analysis is possible. Indicator choice stays with PSQ.</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information-needs register and technology-acquisition decisions that depend on it.</w:t>
      </w:r>
    </w:p>
    <w:p>
      <w:pPr>
        <w:pStyle w:val="ListParagraph"/>
        <w:numPr>
          <w:ilvl w:val="0"/>
          <w:numId w:val="1"/>
        </w:numPr>
        <w:spacing w:after="60"/>
      </w:pPr>
      <w:r>
        <w:rPr>
          <w:sz w:val="22"/>
          <w:szCs w:val="22"/>
        </w:rPr>
        <w:t xml:space="preserve">Accountable for lawful contribution to external databases.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Holds the information-needs register and the external-database register.</w:t>
      </w:r>
    </w:p>
    <w:p>
      <w:pPr>
        <w:pStyle w:val="ListParagraph"/>
        <w:numPr>
          <w:ilvl w:val="0"/>
          <w:numId w:val="1"/>
        </w:numPr>
        <w:spacing w:after="60"/>
      </w:pPr>
      <w:r>
        <w:rPr>
          <w:sz w:val="22"/>
          <w:szCs w:val="22"/>
        </w:rPr>
        <w:t xml:space="preserve">Tests storage and retrieval with the IT in-charge.</w:t>
      </w:r>
    </w:p>
    <w:p>
      <w:pPr>
        <w:pStyle w:val="ListParagraph"/>
        <w:numPr>
          <w:ilvl w:val="0"/>
          <w:numId w:val="1"/>
        </w:numPr>
        <w:spacing w:after="60"/>
      </w:pPr>
      <w:r>
        <w:rPr>
          <w:sz w:val="22"/>
          <w:szCs w:val="22"/>
        </w:rPr>
        <w:t xml:space="preserve">IT / information-systems in-charge</w:t>
      </w:r>
    </w:p>
    <w:p>
      <w:pPr>
        <w:pStyle w:val="ListParagraph"/>
        <w:numPr>
          <w:ilvl w:val="0"/>
          <w:numId w:val="1"/>
        </w:numPr>
        <w:spacing w:after="60"/>
      </w:pPr>
      <w:r>
        <w:rPr>
          <w:sz w:val="22"/>
          <w:szCs w:val="22"/>
        </w:rPr>
        <w:t xml:space="preserve">Matches acquisitions and the maintenance plan to identified needs.</w:t>
      </w:r>
    </w:p>
    <w:p>
      <w:pPr>
        <w:pStyle w:val="ListParagraph"/>
        <w:numPr>
          <w:ilvl w:val="0"/>
          <w:numId w:val="1"/>
        </w:numPr>
        <w:spacing w:after="60"/>
      </w:pPr>
      <w:r>
        <w:rPr>
          <w:sz w:val="22"/>
          <w:szCs w:val="22"/>
        </w:rPr>
        <w:t xml:space="preserve">Operates backups and retrieval for electronic stores.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data-definition sheets and oversees analysis against information needs.</w:t>
      </w:r>
    </w:p>
    <w:p>
      <w:pPr>
        <w:pStyle w:val="ListParagraph"/>
        <w:numPr>
          <w:ilvl w:val="0"/>
          <w:numId w:val="1"/>
        </w:numPr>
        <w:spacing w:after="60"/>
      </w:pPr>
      <w:r>
        <w:rPr>
          <w:sz w:val="22"/>
          <w:szCs w:val="22"/>
        </w:rPr>
        <w:t xml:space="preserve">Audits this policy «quarterly» (see section 7).</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Information-needs register is current and covers all six stakeholder groups.</w:t>
      </w:r>
    </w:p>
    <w:p>
      <w:pPr>
        <w:pStyle w:val="ListParagraph"/>
        <w:numPr>
          <w:ilvl w:val="0"/>
          <w:numId w:val="1"/>
        </w:numPr>
        <w:spacing w:after="60"/>
      </w:pPr>
      <w:r>
        <w:rPr>
          <w:sz w:val="22"/>
          <w:szCs w:val="22"/>
        </w:rPr>
        <w:t xml:space="preserve">A sample technology acquisition or maintenance item is matched to a documented need.</w:t>
      </w:r>
    </w:p>
    <w:p>
      <w:pPr>
        <w:pStyle w:val="ListParagraph"/>
        <w:numPr>
          <w:ilvl w:val="0"/>
          <w:numId w:val="1"/>
        </w:numPr>
        <w:spacing w:after="60"/>
      </w:pPr>
      <w:r>
        <w:rPr>
          <w:sz w:val="22"/>
          <w:szCs w:val="22"/>
        </w:rPr>
        <w:t xml:space="preserve">Retrieval test passed for the sampled needs.</w:t>
      </w:r>
    </w:p>
    <w:p>
      <w:pPr>
        <w:pStyle w:val="ListParagraph"/>
        <w:numPr>
          <w:ilvl w:val="0"/>
          <w:numId w:val="1"/>
        </w:numPr>
        <w:spacing w:after="60"/>
      </w:pPr>
      <w:r>
        <w:rPr>
          <w:sz w:val="22"/>
          <w:szCs w:val="22"/>
        </w:rPr>
        <w:t xml:space="preserve">External-database register entries have a recorded legal or regulatory basis.</w:t>
      </w:r>
    </w:p>
    <w:p>
      <w:pPr>
        <w:pStyle w:val="ListParagraph"/>
        <w:numPr>
          <w:ilvl w:val="0"/>
          <w:numId w:val="1"/>
        </w:numPr>
        <w:spacing w:after="60"/>
      </w:pPr>
      <w:r>
        <w:rPr>
          <w:sz w:val="22"/>
          <w:szCs w:val="22"/>
        </w:rPr>
        <w:t xml:space="preserve">Data-definition sheets exist for analysed items; parallel definitions are absent.</w:t>
      </w:r>
    </w:p>
    <w:p>
      <w:pPr>
        <w:spacing w:after="140"/>
      </w:pPr>
      <w:r>
        <w:rPr>
          <w:sz w:val="22"/>
          <w:szCs w:val="22"/>
        </w:rPr>
        <w:t xml:space="preserve">Root-cause analysis is required when a documented information need cannot be met from stored data, or when a contribution to an external database has no recorded basis.</w:t>
      </w:r>
    </w:p>
    <w:p>
      <w:pPr>
        <w:spacing w:after="140"/>
      </w:pPr>
      <w:r>
        <w:rPr>
          <w:sz w:val="22"/>
          <w:szCs w:val="22"/>
        </w:rPr>
        <w:t xml:space="preserve">This policy is reviewed «annually», and sooner when a new service or a new statutory return is introduced.</w:t>
      </w:r>
    </w:p>
    <w:p>
      <w:pPr>
        <w:pStyle w:val="Heading1"/>
        <w:spacing w:after="120" w:before="280"/>
      </w:pPr>
      <w:r>
        <w:t xml:space="preserve">8. Training and staff acknowledgement</w:t>
      </w:r>
    </w:p>
    <w:p>
      <w:pPr>
        <w:spacing w:after="140"/>
      </w:pPr>
      <w:r>
        <w:rPr>
          <w:sz w:val="22"/>
          <w:szCs w:val="22"/>
        </w:rPr>
        <w:t xml:space="preserve">The Medical Records Officer, the IT / information-systems in-charge, department heads and the Quality Coordinator are briefed on this policy at appointment and «once a year» after that. Briefing covers the information-needs register, retrieval tests and the external-database register.</w:t>
      </w:r>
    </w:p>
    <w:p>
      <w:pPr>
        <w:spacing w:after="140"/>
      </w:pPr>
      <w:r>
        <w:rPr>
          <w:sz w:val="22"/>
          <w:szCs w:val="22"/>
        </w:rPr>
        <w:t xml:space="preserve">Staff acknowledgement</w:t>
      </w:r>
    </w:p>
    <w:p>
      <w:pPr>
        <w:spacing w:after="140"/>
      </w:pPr>
      <w:r>
        <w:rPr>
          <w:sz w:val="22"/>
          <w:szCs w:val="22"/>
        </w:rPr>
        <w:t xml:space="preserve">I have read this Information Needs of Stakeholders policy of Preview Hospital. I understand the information-needs register, standardised data collection and the rule that external-database contribution requires a recorded legal or regulatory basis.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IMS.1.</w:t>
      </w:r>
    </w:p>
    <w:p>
      <w:pPr>
        <w:pStyle w:val="ListParagraph"/>
        <w:numPr>
          <w:ilvl w:val="0"/>
          <w:numId w:val="1"/>
        </w:numPr>
        <w:spacing w:after="60"/>
      </w:pPr>
      <w:r>
        <w:rPr>
          <w:sz w:val="22"/>
          <w:szCs w:val="22"/>
        </w:rPr>
        <w:t xml:space="preserve">Electronic Health Record (EHR) Standards for India, 2016 (Ministry of Health and Family Welfare) — guidance cited by the chapter, not a copied statute.</w:t>
      </w:r>
    </w:p>
    <w:p>
      <w:pPr>
        <w:pStyle w:val="ListParagraph"/>
        <w:numPr>
          <w:ilvl w:val="0"/>
          <w:numId w:val="1"/>
        </w:numPr>
        <w:spacing w:after="60"/>
      </w:pPr>
      <w:r>
        <w:rPr>
          <w:sz w:val="22"/>
          <w:szCs w:val="22"/>
        </w:rPr>
        <w:t xml:space="preserve">Ayushman Bharat Digital Mission (ABDM) Health Data Management Policy (National Health Authority) — guidance cited by the chapter.</w:t>
      </w:r>
    </w:p>
    <w:p>
      <w:pPr>
        <w:pStyle w:val="ListParagraph"/>
        <w:numPr>
          <w:ilvl w:val="0"/>
          <w:numId w:val="1"/>
        </w:numPr>
        <w:spacing w:after="60"/>
      </w:pPr>
      <w:r>
        <w:rPr>
          <w:sz w:val="22"/>
          <w:szCs w:val="22"/>
        </w:rPr>
        <w:t xml:space="preserve">ISO/IEC 27001 and ISO 27799:2016 — guidance cited by the chapter for information-security management.</w:t>
      </w:r>
    </w:p>
    <w:p>
      <w:pPr>
        <w:pStyle w:val="ListParagraph"/>
        <w:numPr>
          <w:ilvl w:val="0"/>
          <w:numId w:val="1"/>
        </w:numPr>
        <w:spacing w:after="60"/>
      </w:pPr>
      <w:r>
        <w:rPr>
          <w:sz w:val="22"/>
          <w:szCs w:val="22"/>
        </w:rPr>
        <w:t xml:space="preserve">Internal documents of Preview Hospital: information-needs register; technology acquisition and maintenance plan; external-database contribution register; data-definition sheets.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Medical Records Officer and the Quality Coordinator.</w:t>
      </w:r>
    </w:p>
    <w:p>
      <w:pPr>
        <w:spacing w:after="140"/>
      </w:pPr>
      <w:r>
        <w:rPr>
          <w:sz w:val="22"/>
          <w:szCs w:val="22"/>
        </w:rPr>
        <w:t xml:space="preserve">Copies issued to: IT / information-systems in-charge; department heads; quality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ABDM — Ayushman Bharat Digital Mission
CAPA — corrective and preventive action
EHR — electronic health record
IMS — Information Management System (NABH SHCO chapter 10)
IT — information technology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IMS.1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captures and disseminates the information needs of the patients, visitors, staff, management, external agencies and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capture and disseminate information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register);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management and technology acquisitions and maintenance plan are in consonance with the identified information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Information-management and technology acquisitions and maintenance;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IT / information-systems in-charge (match acquisitions); Medical Superintendent (approve purchases)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stores and retrieves data according to its information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Store and retrieve data according to information needs;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(index stores); IT / information-systems in-charge (electronic retrieval)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contributes to external databases in accordance with the law and regulations.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Contribute to external databases;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register); Medical Superintendent (accountable for basis)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Processes for data collection are standardised and data is analysed to meet the information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Standardised data collection and analysis;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(data-definition sheets and analysis); Medical Records Officer (collection method)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IMS.1.a — The organisation identifies, captures and disseminates the information needs of the patients, visitors, staff, management, external agencies and community.</w:t>
      </w:r>
    </w:p>
    <w:p>
      <w:pPr>
        <w:pStyle w:val="ListParagraph"/>
        <w:numPr>
          <w:ilvl w:val="0"/>
          <w:numId w:val="1"/>
        </w:numPr>
        <w:spacing w:after="60"/>
      </w:pPr>
      <w:r>
        <w:rPr>
          <w:sz w:val="22"/>
          <w:szCs w:val="22"/>
        </w:rPr>
        <w:t xml:space="preserve">Information-needs register covering patients, visitors, staff, management, external agencies and community.</w:t>
      </w:r>
    </w:p>
    <w:p>
      <w:pPr>
        <w:pStyle w:val="ListParagraph"/>
        <w:numPr>
          <w:ilvl w:val="0"/>
          <w:numId w:val="1"/>
        </w:numPr>
        <w:spacing w:after="60"/>
      </w:pPr>
      <w:r>
        <w:rPr>
          <w:sz w:val="22"/>
          <w:szCs w:val="22"/>
        </w:rPr>
        <w:t xml:space="preserve">Annual review record and evidence that obsolete notices were withdrawn.</w:t>
      </w:r>
    </w:p>
    <w:p>
      <w:pPr>
        <w:pStyle w:val="ListParagraph"/>
        <w:numPr>
          <w:ilvl w:val="0"/>
          <w:numId w:val="1"/>
        </w:numPr>
        <w:spacing w:after="60"/>
      </w:pPr>
      <w:r>
        <w:rPr>
          <w:sz w:val="22"/>
          <w:szCs w:val="22"/>
        </w:rPr>
        <w:t xml:space="preserve">Sample of disseminated information matched to a register entry (channel and frequency).</w:t>
      </w:r>
    </w:p>
    <w:p>
      <w:pPr>
        <w:pStyle w:val="ListParagraph"/>
        <w:numPr>
          <w:ilvl w:val="0"/>
          <w:numId w:val="1"/>
        </w:numPr>
        <w:spacing w:after="60"/>
      </w:pPr>
      <w:r>
        <w:rPr>
          <w:sz w:val="22"/>
          <w:szCs w:val="22"/>
        </w:rPr>
        <w:t xml:space="preserve">Quarterly audit sample of stakeholder coverage.</w:t>
      </w:r>
    </w:p>
    <w:p>
      <w:pPr>
        <w:pStyle w:val="Heading2"/>
        <w:spacing w:after="100" w:before="220"/>
      </w:pPr>
      <w:r>
        <w:t xml:space="preserve">IMS.1.b — Information management and technology acquisitions and maintenance plan are in consonance with the identified information needs.</w:t>
      </w:r>
    </w:p>
    <w:p>
      <w:pPr>
        <w:pStyle w:val="ListParagraph"/>
        <w:numPr>
          <w:ilvl w:val="0"/>
          <w:numId w:val="1"/>
        </w:numPr>
        <w:spacing w:after="60"/>
      </w:pPr>
      <w:r>
        <w:rPr>
          <w:sz w:val="22"/>
          <w:szCs w:val="22"/>
        </w:rPr>
        <w:t xml:space="preserve">Written check of each acquisition against the information-needs register.</w:t>
      </w:r>
    </w:p>
    <w:p>
      <w:pPr>
        <w:pStyle w:val="ListParagraph"/>
        <w:numPr>
          <w:ilvl w:val="0"/>
          <w:numId w:val="1"/>
        </w:numPr>
        <w:spacing w:after="60"/>
      </w:pPr>
      <w:r>
        <w:rPr>
          <w:sz w:val="22"/>
          <w:szCs w:val="22"/>
        </w:rPr>
        <w:t xml:space="preserve">Current technology maintenance plan (backups, support, version control, downtime).</w:t>
      </w:r>
    </w:p>
    <w:p>
      <w:pPr>
        <w:pStyle w:val="ListParagraph"/>
        <w:numPr>
          <w:ilvl w:val="0"/>
          <w:numId w:val="1"/>
        </w:numPr>
        <w:spacing w:after="60"/>
      </w:pPr>
      <w:r>
        <w:rPr>
          <w:sz w:val="22"/>
          <w:szCs w:val="22"/>
        </w:rPr>
        <w:t xml:space="preserve">Annual review of the maintenance plan with the Medical Records Officer.</w:t>
      </w:r>
    </w:p>
    <w:p>
      <w:pPr>
        <w:pStyle w:val="Heading2"/>
        <w:spacing w:after="100" w:before="220"/>
      </w:pPr>
      <w:r>
        <w:t xml:space="preserve">IMS.1.c — The organisation stores and retrieves data according to its information needs.</w:t>
      </w:r>
    </w:p>
    <w:p>
      <w:pPr>
        <w:pStyle w:val="ListParagraph"/>
        <w:numPr>
          <w:ilvl w:val="0"/>
          <w:numId w:val="1"/>
        </w:numPr>
        <w:spacing w:after="60"/>
      </w:pPr>
      <w:r>
        <w:rPr>
          <w:sz w:val="22"/>
          <w:szCs w:val="22"/>
        </w:rPr>
        <w:t xml:space="preserve">Storage location and retrieval method named on each information-needs register entry.</w:t>
      </w:r>
    </w:p>
    <w:p>
      <w:pPr>
        <w:pStyle w:val="ListParagraph"/>
        <w:numPr>
          <w:ilvl w:val="0"/>
          <w:numId w:val="1"/>
        </w:numPr>
        <w:spacing w:after="60"/>
      </w:pPr>
      <w:r>
        <w:rPr>
          <w:sz w:val="22"/>
          <w:szCs w:val="22"/>
        </w:rPr>
        <w:t xml:space="preserve">Quarterly retrieval-test log covering at least one clinical and one management retrieval.</w:t>
      </w:r>
    </w:p>
    <w:p>
      <w:pPr>
        <w:pStyle w:val="ListParagraph"/>
        <w:numPr>
          <w:ilvl w:val="0"/>
          <w:numId w:val="1"/>
        </w:numPr>
        <w:spacing w:after="60"/>
      </w:pPr>
      <w:r>
        <w:rPr>
          <w:sz w:val="22"/>
          <w:szCs w:val="22"/>
        </w:rPr>
        <w:t xml:space="preserve">Index or labelling scheme for paper and electronic stores.</w:t>
      </w:r>
    </w:p>
    <w:p>
      <w:pPr>
        <w:pStyle w:val="Heading2"/>
        <w:spacing w:after="100" w:before="220"/>
      </w:pPr>
      <w:r>
        <w:t xml:space="preserve">IMS.1.d — The organisation contributes to external databases in accordance with the law and regulations.</w:t>
      </w:r>
    </w:p>
    <w:p>
      <w:pPr>
        <w:pStyle w:val="ListParagraph"/>
        <w:numPr>
          <w:ilvl w:val="0"/>
          <w:numId w:val="1"/>
        </w:numPr>
        <w:spacing w:after="60"/>
      </w:pPr>
      <w:r>
        <w:rPr>
          <w:sz w:val="22"/>
          <w:szCs w:val="22"/>
        </w:rPr>
        <w:t xml:space="preserve">External-database contribution register with database, data, frequency, basis and submitter.</w:t>
      </w:r>
    </w:p>
    <w:p>
      <w:pPr>
        <w:pStyle w:val="ListParagraph"/>
        <w:numPr>
          <w:ilvl w:val="0"/>
          <w:numId w:val="1"/>
        </w:numPr>
        <w:spacing w:after="60"/>
      </w:pPr>
      <w:r>
        <w:rPr>
          <w:sz w:val="22"/>
          <w:szCs w:val="22"/>
        </w:rPr>
        <w:t xml:space="preserve">Submission receipts or logs for each contribution.</w:t>
      </w:r>
    </w:p>
    <w:p>
      <w:pPr>
        <w:pStyle w:val="ListParagraph"/>
        <w:numPr>
          <w:ilvl w:val="0"/>
          <w:numId w:val="1"/>
        </w:numPr>
        <w:spacing w:after="60"/>
      </w:pPr>
      <w:r>
        <w:rPr>
          <w:sz w:val="22"/>
          <w:szCs w:val="22"/>
        </w:rPr>
        <w:t xml:space="preserve">Evidence that patient-identifiable contributions also meet IMS.4.d.</w:t>
      </w:r>
    </w:p>
    <w:p>
      <w:pPr>
        <w:pStyle w:val="Heading2"/>
        <w:spacing w:after="100" w:before="220"/>
      </w:pPr>
      <w:r>
        <w:t xml:space="preserve">IMS.1.e — Processes for data collection are standardised and data is analysed to meet the information needs.</w:t>
      </w:r>
    </w:p>
    <w:p>
      <w:pPr>
        <w:pStyle w:val="ListParagraph"/>
        <w:numPr>
          <w:ilvl w:val="0"/>
          <w:numId w:val="1"/>
        </w:numPr>
        <w:spacing w:after="60"/>
      </w:pPr>
      <w:r>
        <w:rPr>
          <w:sz w:val="22"/>
          <w:szCs w:val="22"/>
        </w:rPr>
        <w:t xml:space="preserve">Data-definition sheet for each analysed data item.</w:t>
      </w:r>
    </w:p>
    <w:p>
      <w:pPr>
        <w:pStyle w:val="ListParagraph"/>
        <w:numPr>
          <w:ilvl w:val="0"/>
          <w:numId w:val="1"/>
        </w:numPr>
        <w:spacing w:after="60"/>
      </w:pPr>
      <w:r>
        <w:rPr>
          <w:sz w:val="22"/>
          <w:szCs w:val="22"/>
        </w:rPr>
        <w:t xml:space="preserve">Analysis outputs at the interval set on the information-needs register.</w:t>
      </w:r>
    </w:p>
    <w:p>
      <w:pPr>
        <w:pStyle w:val="ListParagraph"/>
        <w:numPr>
          <w:ilvl w:val="0"/>
          <w:numId w:val="1"/>
        </w:numPr>
        <w:spacing w:after="60"/>
      </w:pPr>
      <w:r>
        <w:rPr>
          <w:sz w:val="22"/>
          <w:szCs w:val="22"/>
        </w:rPr>
        <w:t xml:space="preserve">Evidence that department-level parallel definitions were not in use.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 Preview Hospital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«IMS/POL/01»  |  Controlled document  |  Information Needs of Stakeholders — Capture and Analysis of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2026-08-20T03:58:19.351Z</dcterms:created>
  <dcterms:modified xsi:type="dcterms:W3CDTF">2026-08-20T03:58:19.352Z</dcterms:modified>
</cp:coreProperties>
</file>

<file path=docProps/custom.xml><?xml version="1.0" encoding="utf-8"?>
<Properties xmlns="http://schemas.openxmlformats.org/officeDocument/2006/custom-properties" xmlns:vt="http://schemas.openxmlformats.org/officeDocument/2006/docPropsVTypes"/>
</file>