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Organisation's Leader — Qualifications, Experience and Performance</w:t>
      </w:r>
    </w:p>
    <w:p>
      <w:pPr>
        <w:spacing w:after="240"/>
        <w:jc w:val="center"/>
      </w:pPr>
      <w:r>
        <w:rPr>
          <w:i/>
          <w:iCs/>
          <w:sz w:val="20"/>
          <w:szCs w:val="20"/>
        </w:rPr>
        <w:t xml:space="preserve">Leader qualifications, experience, compliance and performance review.</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 xml:space="preserve">The chapter intent is that the responsibilities of management are defined. The responsibilities of the leaders at all levels are defined. Management executes its responsibility for compliance with all applicable regulations.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spacing w:after="140"/>
      </w:pPr>
      <w:r>
        <w:rPr>
          <w:sz w:val="22"/>
          <w:szCs w:val="22"/>
        </w:rPr>
        <w:t xml:space="preserve">It covers the four elements ROM.2.a–d name. It does not cover governance roles and responsibilities (ROM.1),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identification of governance roles and appointment of senior leaders. This policy owns the qualifications and experience of the person heading the organisation (the appointee).</w:t>
      </w:r>
    </w:p>
    <w:p>
      <w:pPr>
        <w:pStyle w:val="ListParagraph"/>
        <w:numPr>
          <w:ilvl w:val="0"/>
          <w:numId w:val="1"/>
        </w:numPr>
        <w:spacing w:after="60"/>
      </w:pPr>
      <w:r>
        <w:rPr>
          <w:sz w:val="22"/>
          <w:szCs w:val="22"/>
        </w:rPr>
        <w:t xml:space="preserve">ROM.3 owns strategic and operational plans and service standards. This policy owns the leader's compliance with legislation relevant to those plans.</w:t>
      </w:r>
    </w:p>
    <w:p>
      <w:pPr>
        <w:pStyle w:val="ListParagraph"/>
        <w:numPr>
          <w:ilvl w:val="0"/>
          <w:numId w:val="1"/>
        </w:numPr>
        <w:spacing w:after="60"/>
      </w:pPr>
      <w:r>
        <w:rPr>
          <w:sz w:val="22"/>
          <w:szCs w:val="22"/>
        </w:rPr>
        <w:t xml:space="preserve">HRM owns general staff qualifications and credentialling. This policy is specific to the person heading the organisation.</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 xml:space="preserve">This step does not duplicate the detailed statutory requirements addressed in other policies of «Hospital Name» (for example FMS for fire and safety, HIC for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 xml:space="preserve">ROM.1.c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ROM.2.</w:t>
      </w:r>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 xml:space="preserve">12. Traceability to NABH SHCO 3rd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«ROM/POL/02»  |  Controlled document  |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