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Strategic Plans, Operational Plans, Committees, Service Standards and Staff Rights</w:t>
      </w:r>
    </w:p>
    <w:p>
      <w:pPr>
        <w:spacing w:after="240"/>
        <w:jc w:val="center"/>
      </w:pPr>
      <w:r>
        <w:rPr>
          <w:i/>
          <w:iCs/>
          <w:sz w:val="20"/>
          <w:szCs w:val="20"/>
        </w:rPr>
        <w:t xml:space="preserve">Plans, budgets, committees, service standards and staff rights.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spacing w:after="140"/>
      </w:pPr>
      <w:r>
        <w:rPr>
          <w:sz w:val="22"/>
          <w:szCs w:val="22"/>
        </w:rPr>
        <w:t xml:space="preserve">The chapter intent is that the responsibilities of management are defined. The responsibilities of the leaders at all levels are defined.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spacing w:after="140"/>
      </w:pPr>
      <w:r>
        <w:rPr>
          <w:sz w:val="22"/>
          <w:szCs w:val="22"/>
        </w:rPr>
        <w:t xml:space="preserve">It covers the five elements ROM.3.a–e name. It does not cover governance roles and mission (ROM.1), leader qualifications and performance (ROM.2),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governance roles, vision, mission, values and mission-level performance monitoring. This policy owns operational plans, budgets and the service-standard documents.</w:t>
      </w:r>
    </w:p>
    <w:p>
      <w:pPr>
        <w:pStyle w:val="ListParagraph"/>
        <w:numPr>
          <w:ilvl w:val="0"/>
          <w:numId w:val="1"/>
        </w:numPr>
        <w:spacing w:after="60"/>
      </w:pPr>
      <w:r>
        <w:rPr>
          <w:sz w:val="22"/>
          <w:szCs w:val="22"/>
        </w:rPr>
        <w:t xml:space="preserve">ROM.2 owns the leader's qualifications, experience and performance review. This policy owns committee review and staff rights documentation.</w:t>
      </w:r>
    </w:p>
    <w:p>
      <w:pPr>
        <w:pStyle w:val="ListParagraph"/>
        <w:numPr>
          <w:ilvl w:val="0"/>
          <w:numId w:val="1"/>
        </w:numPr>
        <w:spacing w:after="60"/>
      </w:pPr>
      <w:r>
        <w:rPr>
          <w:sz w:val="22"/>
          <w:szCs w:val="22"/>
        </w:rPr>
        <w:t xml:space="preserve">ROM.4 owns risk management and outsourced services. This policy owns strategic planning within which risk management sits.</w:t>
      </w:r>
    </w:p>
    <w:p>
      <w:pPr>
        <w:pStyle w:val="ListParagraph"/>
        <w:numPr>
          <w:ilvl w:val="0"/>
          <w:numId w:val="1"/>
        </w:numPr>
        <w:spacing w:after="60"/>
      </w:pPr>
      <w:r>
        <w:rPr>
          <w:sz w:val="22"/>
          <w:szCs w:val="22"/>
        </w:rPr>
        <w:t xml:space="preserve">HRM owns detailed staff management. This policy owns the documented statement of staff rights and responsibilities.</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 xml:space="preserve">This is distinct from ROM.1.c's mission-level performance monitoring. ROM.3.b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 xml:space="preserve">This is the governance-level document. HRM owns detailed staff policies, grievance procedures and employment terms. ROM.3.e owns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HRM — Human Resource Management (NABH SHCO chapter 8)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 xml:space="preserve">12. Traceability to NABH SHCO 3rd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«ROM/POL/03»  |  Controlled document  |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