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Handling Cost Information, Record Access and Patient Information-Sharing Preferences</w:t>
      </w:r>
    </w:p>
    <w:p>
      <w:r>
        <w:t>«Hospital Name» — Supports PRE.2.h-l</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Three everyday, easy-to-forget patient rights live in this SOP: knowing roughly what care will cost before the bill arrives, being able to see their own medical record if they ask, and deciding for themselves what gets told to their family. None of these are dramatic, but skipping any one of them is still a rights violation.</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 makes complaint and cost information available, gives patients access to their clinical records, keeps them informed of the treating doctor and care plan, and honours their preference on what care information is shared with family.</w:t>
      </w:r>
    </w:p>
    <w:p>
      <w:pPr>
        <w:pStyle w:val="Heading1"/>
      </w:pPr>
      <w:r>
        <w:t>2. Scope</w:t>
      </w:r>
    </w:p>
    <w:p>
      <w:r>
        <w:t>Applies to Admission/Billing desk staff, Medical Records staff, and all treating doctors.</w:t>
      </w:r>
    </w:p>
    <w:p>
      <w:pPr>
        <w:pStyle w:val="Heading1"/>
      </w:pPr>
      <w:r>
        <w:t>3. Responsibility</w:t>
      </w:r>
    </w:p>
    <w:p>
      <w:r>
        <w:t xml:space="preserve">Patient Accounts In-Charge: </w:t>
      </w:r>
      <w:r>
        <w:t>keeps the tariff list current and gives cost estimates (Records 19-20).</w:t>
      </w:r>
    </w:p>
    <w:p>
      <w:r>
        <w:t xml:space="preserve">Medical Records Officer: </w:t>
      </w:r>
      <w:r>
        <w:t>processes record-access requests and logs them (Records 21-22).</w:t>
      </w:r>
    </w:p>
    <w:p>
      <w:r>
        <w:t xml:space="preserve">Admitting Nurse: </w:t>
      </w:r>
      <w:r>
        <w:t>records information-sharing preferences, including for minors (Records 24-25).</w:t>
      </w:r>
    </w:p>
    <w:p>
      <w:r>
        <w:t xml:space="preserve">Treating Doctor: </w:t>
      </w:r>
      <w:r>
        <w:t>names themselves and discusses the care plan with the patient/family (Record 23).</w:t>
      </w:r>
    </w:p>
    <w:p>
      <w:pPr>
        <w:pStyle w:val="Heading1"/>
      </w:pPr>
      <w:r>
        <w:t>4. Plain-Language Glossary</w:t>
      </w:r>
    </w:p>
    <w:p>
      <w:r>
        <w:t>If a word below is unfamiliar, this is what it means in this SOP:</w:t>
      </w:r>
    </w:p>
    <w:p>
      <w:pPr>
        <w:pStyle w:val="ListParagraph"/>
      </w:pPr>
      <w:r>
        <w:rPr>
          <w:b/>
        </w:rPr>
        <w:t xml:space="preserve">Tariff: </w:t>
      </w:r>
      <w:r>
        <w:t>The hospital's published price list for services and procedures.</w:t>
      </w:r>
    </w:p>
    <w:p>
      <w:pPr>
        <w:pStyle w:val="ListParagraph"/>
      </w:pPr>
      <w:r>
        <w:rPr>
          <w:b/>
        </w:rPr>
        <w:t xml:space="preserve">Information-sharing preference: </w:t>
      </w:r>
      <w:r>
        <w:t>The patient's own choice about which family members are told about their condition and care — not automatically 'whoever is family gets told everything.'</w:t>
      </w:r>
    </w:p>
    <w:p>
      <w:pPr>
        <w:pStyle w:val="Heading1"/>
      </w:pPr>
      <w:r>
        <w:t>5. Procedure</w:t>
      </w:r>
    </w:p>
    <w:p>
      <w:pPr>
        <w:pStyle w:val="Heading2"/>
      </w:pPr>
      <w:r>
        <w:t>5.1 Complaint and cost information</w:t>
      </w:r>
    </w:p>
    <w:p>
      <w:r>
        <w:rPr>
          <w:b/>
          <w:i/>
        </w:rPr>
        <w:t xml:space="preserve">Why this step matters: </w:t>
      </w:r>
      <w:r>
        <w:rPr>
          <w:i/>
        </w:rPr>
        <w:t>Surprise bills and unclear complaint routes are among the most common sources of patient frustration — this step exists to prevent both.</w:t>
      </w:r>
    </w:p>
    <w:p>
      <w:r>
        <w:t>1. Ensure displayed patient-rights material includes complaint information (Record 17) and the written complaint mechanism (Record 18).</w:t>
      </w:r>
    </w:p>
    <w:p>
      <w:r>
        <w:t>2. Give the patient a cost explanation or written estimate before or during treatment (Record 19), and keep the tariff available on request (Record 20).</w:t>
      </w:r>
    </w:p>
    <w:p>
      <w:r>
        <w:rPr>
          <w:b/>
          <w:i/>
          <w:sz w:val="18"/>
        </w:rPr>
        <w:t xml:space="preserve">Technical source(s) for these steps: </w:t>
      </w:r>
    </w:p>
    <w:p>
      <w:pPr>
        <w:pStyle w:val="ListParagraph"/>
      </w:pPr>
      <w:hyperlink r:id="rId9">
        <w:r>
          <w:rPr>
            <w:color w:val="0563C1"/>
            <w:u w:val="single"/>
          </w:rPr>
          <w:t>Ministry of Health and Family Welfare, National Council for Clinical Establishments, Government of India. (2021). Charter of Patients' Rights and Responsibilities. https://clinicalestablishments.mohfw.gov.in/sites/default/files/2023-06/3181.pdf</w:t>
        </w:r>
      </w:hyperlink>
    </w:p>
    <w:p>
      <w:pPr>
        <w:pStyle w:val="ListParagraph"/>
      </w:pPr>
      <w:hyperlink r:id="rId10">
        <w:r>
          <w:rPr>
            <w:color w:val="0563C1"/>
            <w:u w:val="single"/>
          </w:rPr>
          <w:t>Government of India. (2012). Clinical Establishments (Central Government) Rules, 2012, Rule 9(i).</w:t>
        </w:r>
      </w:hyperlink>
    </w:p>
    <w:p>
      <w:pPr>
        <w:pStyle w:val="Heading2"/>
      </w:pPr>
      <w:r>
        <w:t>5.2 Record access</w:t>
      </w:r>
    </w:p>
    <w:p>
      <w:r>
        <w:rPr>
          <w:b/>
          <w:i/>
        </w:rPr>
        <w:t xml:space="preserve">Why this step matters: </w:t>
      </w:r>
      <w:r>
        <w:rPr>
          <w:i/>
        </w:rPr>
        <w:t>A patient's right to see their own record is meaningless if the actual process to get it is unclear or gets refused by default.</w:t>
      </w:r>
    </w:p>
    <w:p>
      <w:r>
        <w:t>1. Follow the written record-access procedure (Record 21) whenever a patient requests access to their clinical record, and log each instance (Record 22).</w:t>
      </w:r>
    </w:p>
    <w:p>
      <w:r>
        <w:rPr>
          <w:b/>
          <w:i/>
          <w:sz w:val="18"/>
        </w:rPr>
        <w:t xml:space="preserve">Technical source(s) for these steps: </w:t>
      </w:r>
    </w:p>
    <w:p>
      <w:pPr>
        <w:pStyle w:val="ListParagraph"/>
      </w:pPr>
      <w:hyperlink r:id="rId11">
        <w:r>
          <w:rPr>
            <w:color w:val="0563C1"/>
            <w:u w:val="single"/>
          </w:rPr>
          <w:t>Medical Council of India. (2002). Indian Medical Council (Professional Conduct, Etiquette and Ethics) Regulations, 2002. https://www.nmc.org.in/rules-regulations/code-of-medical-ethics-regulations-2002/</w:t>
        </w:r>
      </w:hyperlink>
    </w:p>
    <w:p>
      <w:pPr>
        <w:pStyle w:val="Heading2"/>
      </w:pPr>
      <w:r>
        <w:t>5.3 Treating doctor and care-plan information</w:t>
      </w:r>
    </w:p>
    <w:p>
      <w:r>
        <w:rPr>
          <w:b/>
          <w:i/>
        </w:rPr>
        <w:t xml:space="preserve">Why this step matters: </w:t>
      </w:r>
      <w:r>
        <w:rPr>
          <w:i/>
        </w:rPr>
        <w:t>Patients sometimes genuinely don't know who's actually in charge of their care — this closes that basic gap every time.</w:t>
      </w:r>
    </w:p>
    <w:p>
      <w:r>
        <w:t>1. Name the treating doctor and discuss the care plan, progress and healthcare needs directly with the patient/family; document it (Record 23).</w:t>
      </w:r>
    </w:p>
    <w:p>
      <w:r>
        <w:rPr>
          <w:b/>
          <w:i/>
          <w:sz w:val="18"/>
        </w:rPr>
        <w:t xml:space="preserve">Technical source(s) for these steps: </w:t>
      </w:r>
    </w:p>
    <w:p>
      <w:pPr>
        <w:pStyle w:val="ListParagraph"/>
      </w:pPr>
      <w:hyperlink r:id="rId9">
        <w:r>
          <w:rPr>
            <w:color w:val="0563C1"/>
            <w:u w:val="single"/>
          </w:rPr>
          <w:t>Ministry of Health and Family Welfare, National Council for Clinical Establishments, Government of India. (2021). Charter of Patients' Rights and Responsibilities. https://clinicalestablishments.mohfw.gov.in/sites/default/files/2023-06/3181.pdf</w:t>
        </w:r>
      </w:hyperlink>
    </w:p>
    <w:p>
      <w:pPr>
        <w:pStyle w:val="Heading2"/>
      </w:pPr>
      <w:r>
        <w:t>5.4 Information-sharing preferences</w:t>
      </w:r>
    </w:p>
    <w:p>
      <w:r>
        <w:rPr>
          <w:b/>
          <w:i/>
        </w:rPr>
        <w:t xml:space="preserve">Why this step matters: </w:t>
      </w:r>
      <w:r>
        <w:rPr>
          <w:i/>
        </w:rPr>
        <w:t>Assuming family should know everything can itself violate a patient's privacy — the choice belongs to the patient, not to whoever is asking.</w:t>
      </w:r>
    </w:p>
    <w:p>
      <w:r>
        <w:t>1. Ask the patient what information about their care may be shared with family, and record the preference (Record 24-25).</w:t>
      </w:r>
    </w:p>
    <w:p>
      <w:r>
        <w:t>2. For minors, direct information to at least one parent or guardian (per Indian Majority Act, 1875 — a minor is anyone under 18, so consent/disclosure decisions route to the parent/guardian until then).</w:t>
      </w:r>
    </w:p>
    <w:p>
      <w:pPr>
        <w:pStyle w:val="Heading1"/>
      </w:pPr>
      <w:r>
        <w:t>6. Records</w:t>
      </w:r>
    </w:p>
    <w:p>
      <w:r>
        <w:t>This SOP produces and maintains Records 17 through 25 listed above.</w:t>
      </w:r>
    </w:p>
    <w:p>
      <w:pPr>
        <w:pStyle w:val="Heading1"/>
      </w:pPr>
      <w:r>
        <w:t>7. Related Documents</w:t>
      </w:r>
    </w:p>
    <w:p>
      <w:pPr>
        <w:pStyle w:val="ListParagraph"/>
      </w:pPr>
      <w:r>
        <w:t>Policy on Patient and Family Rights in Care and Decision-Making (HCO/PRE/POL/02) — PRE.2 policy (this SOP supports PRE.2.h-l)</w:t>
      </w:r>
    </w:p>
    <w:p>
      <w:pPr>
        <w:pStyle w:val="ListParagraph"/>
      </w:pPr>
      <w:r>
        <w:t>Policy on Information on Expected Costs (HCO/PRE/POL/06)</w:t>
      </w:r>
    </w:p>
    <w:p>
      <w:pPr>
        <w:pStyle w:val="ListParagraph"/>
      </w:pPr>
      <w:r>
        <w:t>PRE.2 Required Records — Records 17 through 25</w:t>
      </w:r>
    </w:p>
    <w:p>
      <w:pPr>
        <w:pStyle w:val="Heading1"/>
      </w:pPr>
      <w:r>
        <w:t>8. Where This SOP's Requirements Come From (Verified Sources)</w:t>
      </w:r>
    </w:p>
    <w:p>
      <w:pPr>
        <w:pStyle w:val="ListParagraph"/>
      </w:pPr>
      <w:hyperlink r:id="rId12">
        <w:r>
          <w:rPr>
            <w:color w:val="0563C1"/>
            <w:u w:val="single"/>
          </w:rPr>
          <w:t>National Accreditation Board for Hospitals and Healthcare Providers. (2025). NABH accreditation standards for hospitals (6th ed.), PRE.2. ISBN 978-81-965264-9-8. https://portal.nabh.co/images/Standards/NABH%20Hospital%20Accreditation%20Standard%206th%20Edition%20January%202025.pdf</w:t>
        </w:r>
      </w:hyperlink>
    </w:p>
    <w:p>
      <w:pPr>
        <w:pStyle w:val="ListParagraph"/>
      </w:pPr>
      <w:hyperlink r:id="rId11">
        <w:r>
          <w:rPr>
            <w:color w:val="0563C1"/>
            <w:u w:val="single"/>
          </w:rPr>
          <w:t>Medical Council of India. (2002). Indian Medical Council (Professional Conduct, Etiquette and Ethics) Regulations, 2002. https://www.nmc.org.in/rules-regulations/code-of-medical-ethics-regulations-2002/</w:t>
        </w:r>
      </w:hyperlink>
    </w:p>
    <w:p>
      <w:pPr>
        <w:pStyle w:val="Heading1"/>
      </w:pPr>
      <w:r>
        <w:t>9. Review</w:t>
      </w:r>
    </w:p>
    <w:p>
      <w:r>
        <w:t>This SOP is reviewed annually by the Quality Coordinator.</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linicalestablishments.mohfw.gov.in/sites/default/files/2023-06/3181.pdf" TargetMode="External"/><Relationship Id="rId10" Type="http://schemas.openxmlformats.org/officeDocument/2006/relationships/hyperlink" Target="https://indiankanoon.org/doc/87780753/" TargetMode="External"/><Relationship Id="rId11" Type="http://schemas.openxmlformats.org/officeDocument/2006/relationships/hyperlink" Target="https://www.nmc.org.in/rules-regulations/code-of-medical-ethics-regulations-2002/" TargetMode="External"/><Relationship Id="rId12"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