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Obtaining Informed Consent Before High-Risk and Listed Procedures</w:t>
      </w:r>
    </w:p>
    <w:p>
      <w:r>
        <w:t>«Hospital Name» — Supports PRE.4.a-e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Consent is not just a signature — it's proof a patient actually understood what they were agreeing to before it happened to their body. This SOP is the hospital's playbook for making sure that understanding is real every time, for every listed procedure, and for making sure it's always the doctor doing the procedure — never a nurse or clerk alone — who's responsible for making sure that understanding happened.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obtains valid informed consent before any procedure on its written consent list — as effective communication about the procedure, its risks, benefits, alternatives and who will perform it — from the patient or the person who may consent on their behalf.</w:t>
      </w:r>
    </w:p>
    <w:p>
      <w:pPr>
        <w:pStyle w:val="Heading1"/>
      </w:pPr>
      <w:r>
        <w:t>2. Scope</w:t>
      </w:r>
    </w:p>
    <w:p>
      <w:r>
        <w:t>Applies to all doctors and clinical teams performing procedures on the organisation's informed-consent list, and to all patients and persons who may consent on a patient's behalf.</w:t>
      </w:r>
    </w:p>
    <w:p>
      <w:pPr>
        <w:pStyle w:val="Heading1"/>
      </w:pPr>
      <w:r>
        <w:t>3. Responsibility</w:t>
      </w:r>
    </w:p>
    <w:p>
      <w:r>
        <w:t xml:space="preserve">Medical Superintendent: </w:t>
      </w:r>
      <w:r>
        <w:t>approves and keeps current the consent list and process guidance (Records 1-2), and is notified of any consent-related stop-work event.</w:t>
      </w:r>
    </w:p>
    <w:p>
      <w:r>
        <w:t xml:space="preserve">Person Performing the Procedure (or a doctor member of that team): </w:t>
      </w:r>
      <w:r>
        <w:t>is solely responsible for the entire consent process — explaining the procedure and taking the signature — for every listed procedure.</w:t>
      </w:r>
    </w:p>
    <w:p>
      <w:r>
        <w:t xml:space="preserve">Nursing/OT Staff: </w:t>
      </w:r>
      <w:r>
        <w:t>witness the consent discussion, verify the form is complete before the procedure starts, and never accept a consent taken by a nurse or clerk alone.</w:t>
      </w:r>
    </w:p>
    <w:p>
      <w:r>
        <w:t xml:space="preserve">Quality Coordinator: </w:t>
      </w:r>
      <w:r>
        <w:t>audits completed consent forms periodically (Record 16).</w:t>
      </w:r>
    </w:p>
    <w:p>
      <w:pPr>
        <w:pStyle w:val="Heading1"/>
      </w:pPr>
      <w:r>
        <w:t>4. Plain-Language Glossary</w:t>
      </w:r>
    </w:p>
    <w:p>
      <w:r>
        <w:t>If a word below is unfamiliar, this is what it means in this SOP:</w:t>
      </w:r>
    </w:p>
    <w:p>
      <w:pPr>
        <w:pStyle w:val="ListParagraph"/>
      </w:pPr>
      <w:r>
        <w:rPr>
          <w:b/>
        </w:rPr>
        <w:t xml:space="preserve">Informed consent: </w:t>
      </w:r>
      <w:r>
        <w:t>Agreement to a procedure given only after being actually told, in an understandable way, what it involves, its risks, benefits and alternatives — not just a signature.</w:t>
      </w:r>
    </w:p>
    <w:p>
      <w:pPr>
        <w:pStyle w:val="ListParagraph"/>
      </w:pPr>
      <w:r>
        <w:rPr>
          <w:b/>
        </w:rPr>
        <w:t xml:space="preserve">Next of kin: </w:t>
      </w:r>
      <w:r>
        <w:t>The family member legally/ethically recognised to consent on a patient's behalf when they can't decide for themselves, in a fixed order: spouse, then child, then parent, then sibling.</w:t>
      </w:r>
    </w:p>
    <w:p>
      <w:pPr>
        <w:pStyle w:val="ListParagraph"/>
      </w:pPr>
      <w:r>
        <w:rPr>
          <w:b/>
        </w:rPr>
        <w:t xml:space="preserve">Validity period: </w:t>
      </w:r>
      <w:r>
        <w:t>For a treatment repeated many times, how long one original consent stays valid before it must be renewed — capped at six months.</w:t>
      </w:r>
    </w:p>
    <w:p>
      <w:pPr>
        <w:pStyle w:val="Heading1"/>
      </w:pPr>
      <w:r>
        <w:t>5. Procedure</w:t>
      </w:r>
    </w:p>
    <w:p>
      <w:pPr>
        <w:pStyle w:val="Heading2"/>
      </w:pPr>
      <w:r>
        <w:t>5.1 Maintaining the consent list and process guidance</w:t>
      </w:r>
    </w:p>
    <w:p>
      <w:r>
        <w:rPr>
          <w:b/>
          <w:i/>
        </w:rPr>
        <w:t xml:space="preserve">Why this step matters: </w:t>
      </w:r>
      <w:r>
        <w:rPr>
          <w:i/>
        </w:rPr>
        <w:t>If the list itself is incomplete or the guidance is unclear, everything downstream — the forms, the training, the audits — is built on a shaky foundation.</w:t>
      </w:r>
    </w:p>
    <w:p>
      <w:r>
        <w:t>1. Keep a written list of procedures requiring informed consent, considering applicable statutory requirements — MTP Act, PC-PNDT Act, Transplantation of Human Organs Act, HIV and AIDS (Prevention and Control) Act 2017/NACO policy — where relevant (Record 1).</w:t>
      </w:r>
    </w:p>
    <w:p>
      <w:r>
        <w:t>2. Maintain written guidance on the consent process steps and the person responsible, and make staff aware of it (Records 2-3).</w:t>
      </w:r>
    </w:p>
    <w:p>
      <w:r>
        <w:rPr>
          <w:b/>
          <w:i/>
          <w:sz w:val="18"/>
        </w:rPr>
        <w:t xml:space="preserve">Technical source(s) for these steps: </w:t>
      </w:r>
    </w:p>
    <w:p>
      <w:pPr>
        <w:pStyle w:val="ListParagraph"/>
      </w:pPr>
      <w:hyperlink r:id="rId9">
        <w:r>
          <w:rPr>
            <w:color w:val="0563C1"/>
            <w:u w:val="single"/>
          </w:rPr>
          <w:t>Government of India. (1971, amended 2021). The Medical Termination of Pregnancy Act, 1971.</w:t>
        </w:r>
      </w:hyperlink>
    </w:p>
    <w:p>
      <w:pPr>
        <w:pStyle w:val="ListParagraph"/>
      </w:pPr>
      <w:hyperlink r:id="rId10">
        <w:r>
          <w:rPr>
            <w:color w:val="0563C1"/>
            <w:u w:val="single"/>
          </w:rPr>
          <w:t>Government of India. (1994). Pre-Conception and Pre-Natal Diagnostic Techniques (Prohibition of Sex Selection) Act, 1994.</w:t>
        </w:r>
      </w:hyperlink>
    </w:p>
    <w:p>
      <w:pPr>
        <w:pStyle w:val="ListParagraph"/>
      </w:pPr>
      <w:hyperlink r:id="rId11">
        <w:r>
          <w:rPr>
            <w:color w:val="0563C1"/>
            <w:u w:val="single"/>
          </w:rPr>
          <w:t>Government of India. (1994). The Transplantation of Human Organs Act, 1994.</w:t>
        </w:r>
      </w:hyperlink>
    </w:p>
    <w:p>
      <w:pPr>
        <w:pStyle w:val="ListParagraph"/>
      </w:pPr>
      <w:hyperlink r:id="rId12">
        <w:r>
          <w:rPr>
            <w:color w:val="0563C1"/>
            <w:u w:val="single"/>
          </w:rPr>
          <w:t>Government of India. (2017). The HIV and AIDS (Prevention and Control) Act, 2017.</w:t>
        </w:r>
      </w:hyperlink>
    </w:p>
    <w:p>
      <w:pPr>
        <w:pStyle w:val="Heading2"/>
      </w:pPr>
      <w:r>
        <w:t>5.2 Taking consent before the procedure</w:t>
      </w:r>
    </w:p>
    <w:p>
      <w:r>
        <w:rPr>
          <w:b/>
          <w:i/>
        </w:rPr>
        <w:t xml:space="preserve">Why this step matters: </w:t>
      </w:r>
      <w:r>
        <w:rPr>
          <w:i/>
        </w:rPr>
        <w:t>Consent taken after a procedure has already started isn't consent at all — this sequencing matters as much as the content.</w:t>
      </w:r>
    </w:p>
    <w:p>
      <w:r>
        <w:t>1. Take consent before the procedure starts, witnessed by someone present for the entire doctor-patient communication (Record 5).</w:t>
      </w:r>
    </w:p>
    <w:p>
      <w:r>
        <w:t>2. For a procedure repeated over a long time (for example dialysis), take consent at the first instance with a defined validity period not exceeding six months (this specific figure is the hospital's own policy choice — no external body mandates six months — so review it against your own risk tolerance rather than treating it as a legal minimum), and get the patient's endorsement at each repeat treatment (Records 6-7).</w:t>
      </w:r>
    </w:p>
    <w:p>
      <w:r>
        <w:t>3. Obtain fresh consent whenever the treatment modality changes or another modality is added (Record 8).</w:t>
      </w:r>
    </w:p>
    <w:p>
      <w:r>
        <w:rPr>
          <w:b/>
          <w:i/>
          <w:sz w:val="18"/>
        </w:rPr>
        <w:t xml:space="preserve">Technical source(s) for these steps: </w:t>
      </w:r>
    </w:p>
    <w:p>
      <w:pPr>
        <w:pStyle w:val="ListParagraph"/>
      </w:pPr>
      <w:hyperlink r:id="rId13">
        <w:r>
          <w:rPr>
            <w:color w:val="0563C1"/>
            <w:u w:val="single"/>
          </w:rPr>
          <w:t>Medical Council of India. (2002). Indian Medical Council (Professional Conduct, Etiquette and Ethics) Regulations, 2002. https://www.nmc.org.in/rules-regulations/code-of-medical-ethics-regulations-2002/</w:t>
        </w:r>
      </w:hyperlink>
    </w:p>
    <w:p>
      <w:pPr>
        <w:pStyle w:val="Heading2"/>
      </w:pPr>
      <w:r>
        <w:t>5.3 Ensuring consent content and language are adequate</w:t>
      </w:r>
    </w:p>
    <w:p>
      <w:r>
        <w:rPr>
          <w:b/>
          <w:i/>
        </w:rPr>
        <w:t xml:space="preserve">Why this step matters: </w:t>
      </w:r>
      <w:r>
        <w:rPr>
          <w:i/>
        </w:rPr>
        <w:t>A signature on a form the patient couldn't read or understand isn't informed consent — it's just paperwork.</w:t>
      </w:r>
    </w:p>
    <w:p>
      <w:pPr/>
      <w:r>
        <w:t>1. Explain the following to the patient, in a language they understand, before every listed procedure:</w:t>
      </w:r>
    </w:p>
    <w:p>
      <w:pPr/>
      <w:r>
        <w:t>a. The procedure itself — what will actually be done.</w:t>
      </w:r>
    </w:p>
    <w:p>
      <w:pPr/>
      <w:r>
        <w:t>b. Its risks.</w:t>
      </w:r>
    </w:p>
    <w:p>
      <w:pPr/>
      <w:r>
        <w:t>c. Its benefits.</w:t>
      </w:r>
    </w:p>
    <w:p>
      <w:pPr/>
      <w:r>
        <w:t>d. The available alternatives.</w:t>
      </w:r>
    </w:p>
    <w:p>
      <w:pPr/>
      <w:r>
        <w:t>e. Who will perform it.</w:t>
      </w:r>
    </w:p>
    <w:p>
      <w:pPr/>
      <w:r>
        <w:t>Use a bilingual consent form naming the performer (Record 9).</w:t>
      </w:r>
    </w:p>
    <w:p>
      <w:r>
        <w:t>2. Where an interpreter is used, document the language of counselling and the interpreter (Record 10).</w:t>
      </w:r>
    </w:p>
    <w:p>
      <w:r>
        <w:t>3. For multi-specialty procedures, name the principal surgeon from each specialty on the form, each explaining their own role (Record 11).</w:t>
      </w:r>
    </w:p>
    <w:p>
      <w:r>
        <w:t>4. If a doctor under training performs the procedure, specify this along with the supervising qualified doctor's name.</w:t>
      </w:r>
    </w:p>
    <w:p>
      <w:r>
        <w:rPr>
          <w:b/>
          <w:i/>
          <w:sz w:val="18"/>
        </w:rPr>
        <w:t xml:space="preserve">Technical source(s) for these steps: </w:t>
      </w:r>
    </w:p>
    <w:p>
      <w:pPr>
        <w:pStyle w:val="ListParagraph"/>
      </w:pPr>
      <w:hyperlink r:id="rId13">
        <w:r>
          <w:rPr>
            <w:color w:val="0563C1"/>
            <w:u w:val="single"/>
          </w:rPr>
          <w:t>Medical Council of India. (2002). Indian Medical Council (Professional Conduct, Etiquette and Ethics) Regulations, 2002. https://www.nmc.org.in/rules-regulations/code-of-medical-ethics-regulations-2002/</w:t>
        </w:r>
      </w:hyperlink>
    </w:p>
    <w:p>
      <w:pPr>
        <w:pStyle w:val="Heading2"/>
      </w:pPr>
      <w:r>
        <w:t>5.4 Consent when the patient is incapable</w:t>
      </w:r>
    </w:p>
    <w:p>
      <w:r>
        <w:rPr>
          <w:b/>
          <w:i/>
        </w:rPr>
        <w:t xml:space="preserve">Why this step matters: </w:t>
      </w:r>
      <w:r>
        <w:rPr>
          <w:i/>
        </w:rPr>
        <w:t>When a patient truly can't decide for themselves, someone still has to — but it has to be the right person, in the right order, for the right reason.</w:t>
      </w:r>
    </w:p>
    <w:p>
      <w:r>
        <w:t>1. Consent is taken from the patient only if they are capable and above the legal age; no one may consent on behalf of a competent adult.</w:t>
      </w:r>
    </w:p>
    <w:p>
      <w:pPr/>
      <w:r>
        <w:t>2. When the patient is incapable, take consent from the next of kin/legal guardian, in this order of priority:</w:t>
      </w:r>
    </w:p>
    <w:p>
      <w:pPr/>
      <w:r>
        <w:t>a. Spouse.</w:t>
      </w:r>
    </w:p>
    <w:p>
      <w:pPr/>
      <w:r>
        <w:t>b. Son or daughter.</w:t>
      </w:r>
    </w:p>
    <w:p>
      <w:pPr/>
      <w:r>
        <w:t>c. Parents.</w:t>
      </w:r>
    </w:p>
    <w:p>
      <w:pPr/>
      <w:r>
        <w:t>d. Brother or sister.</w:t>
      </w:r>
    </w:p>
    <w:p>
      <w:pPr/>
      <w:r>
        <w:t>Record which relative gave consent and their relationship to the patient (Records 12-13) — this order follows, by analogy, the 'near relative' ordering used in organ-donation law (there is no single codified next-of-kin statute for general treatment consent in India).</w:t>
      </w:r>
    </w:p>
    <w:p>
      <w:r>
        <w:t>3. For a life-threatening situation with an incapable patient and no next of kin available, the treating doctor and another clinician may jointly decide to safeguard the patient's life; document both names and the reason (Record 14).</w:t>
      </w:r>
    </w:p>
    <w:p>
      <w:r>
        <w:rPr>
          <w:b/>
          <w:i/>
          <w:sz w:val="18"/>
        </w:rPr>
        <w:t xml:space="preserve">Technical source(s) for these steps: </w:t>
      </w:r>
    </w:p>
    <w:p>
      <w:pPr>
        <w:pStyle w:val="ListParagraph"/>
      </w:pPr>
      <w:hyperlink r:id="rId14">
        <w:r>
          <w:rPr>
            <w:color w:val="0563C1"/>
            <w:u w:val="single"/>
          </w:rPr>
          <w:t>Government of India. (1994). The Transplantation of Human Organs Act, 1994, s. 2(i) (definition of 'near relative') — cited here by analogy for next-of-kin ordering, not as direct governing law for general treatment consent.</w:t>
        </w:r>
      </w:hyperlink>
    </w:p>
    <w:p>
      <w:pPr>
        <w:pStyle w:val="Heading2"/>
      </w:pPr>
      <w:r>
        <w:t>5.5 Enforcing performer responsibility</w:t>
      </w:r>
    </w:p>
    <w:p>
      <w:r>
        <w:rPr>
          <w:b/>
          <w:i/>
        </w:rPr>
        <w:t xml:space="preserve">Why this step matters: </w:t>
      </w:r>
      <w:r>
        <w:rPr>
          <w:i/>
        </w:rPr>
        <w:t>This is the rule most likely to quietly slip under pressure — a busy doctor letting a nurse handle the paperwork while skipping the explanation. This step exists specifically to catch that.</w:t>
      </w:r>
    </w:p>
    <w:p>
      <w:r>
        <w:t>1. The performer, or a doctor member of the performing team, personally explains the procedure and takes the signature — never delegate explanation to a nurse or clerk while only they sign (Record 15).</w:t>
      </w:r>
    </w:p>
    <w:p>
      <w:r>
        <w:t>2. Periodically audit completed consent forms to confirm this was followed (Record 16).</w:t>
      </w:r>
    </w:p>
    <w:p>
      <w:r>
        <w:rPr>
          <w:b/>
          <w:i/>
          <w:sz w:val="18"/>
        </w:rPr>
        <w:t xml:space="preserve">Technical source(s) for these steps: </w:t>
      </w:r>
    </w:p>
    <w:p>
      <w:pPr>
        <w:pStyle w:val="ListParagraph"/>
      </w:pPr>
      <w:hyperlink r:id="rId13">
        <w:r>
          <w:rPr>
            <w:color w:val="0563C1"/>
            <w:u w:val="single"/>
          </w:rPr>
          <w:t>Medical Council of India. (2002). Indian Medical Council (Professional Conduct, Etiquette and Ethics) Regulations, 2002. https://www.nmc.org.in/rules-regulations/code-of-medical-ethics-regulations-2002/</w:t>
        </w:r>
      </w:hyperlink>
    </w:p>
    <w:p>
      <w:pPr>
        <w:pStyle w:val="Heading1"/>
      </w:pPr>
      <w:r>
        <w:t>6. Records</w:t>
      </w:r>
    </w:p>
    <w:p>
      <w:r>
        <w:t>This SOP produces and maintains Records 1 through 16 listed above.</w:t>
      </w:r>
    </w:p>
    <w:p>
      <w:pPr>
        <w:pStyle w:val="Heading1"/>
      </w:pPr>
      <w:r>
        <w:t>7. Related Documents</w:t>
      </w:r>
    </w:p>
    <w:p>
      <w:pPr>
        <w:pStyle w:val="ListParagraph"/>
      </w:pPr>
      <w:r>
        <w:t>Policy on Informed Consent (HCO/PRE/POL/04) — PRE.4 policy</w:t>
      </w:r>
    </w:p>
    <w:p>
      <w:pPr>
        <w:pStyle w:val="ListParagraph"/>
      </w:pPr>
      <w:r>
        <w:t>Policy on Patient and Family Rights in Care and Decision-Making (HCO/PRE/POL/02) — PRE.2 policy (Section 5.7, informed consent for high-risk care)</w:t>
      </w:r>
    </w:p>
    <w:p>
      <w:pPr>
        <w:pStyle w:val="ListParagraph"/>
      </w:pPr>
      <w:r>
        <w:t>PRE.4 Required Records — Records 1 through 16</w:t>
      </w:r>
    </w:p>
    <w:p>
      <w:pPr>
        <w:pStyle w:val="Heading1"/>
      </w:pPr>
      <w:r>
        <w:t>8. Where This SOP's Requirements Come From (Verified Sources)</w:t>
      </w:r>
    </w:p>
    <w:p>
      <w:pPr>
        <w:pStyle w:val="ListParagraph"/>
      </w:pPr>
      <w:hyperlink r:id="rId15">
        <w:r>
          <w:rPr>
            <w:color w:val="0563C1"/>
            <w:u w:val="single"/>
          </w:rPr>
          <w:t>National Accreditation Board for Hospitals and Healthcare Providers. (2025). NABH accreditation standards for hospitals (6th ed.), PRE.4. ISBN 978-81-965264-9-8. https://portal.nabh.co/images/Standards/NABH%20Hospital%20Accreditation%20Standard%206th%20Edition%20January%202025.pdf</w:t>
        </w:r>
      </w:hyperlink>
    </w:p>
    <w:p>
      <w:pPr>
        <w:pStyle w:val="ListParagraph"/>
      </w:pPr>
      <w:hyperlink r:id="rId13">
        <w:r>
          <w:rPr>
            <w:color w:val="0563C1"/>
            <w:u w:val="single"/>
          </w:rPr>
          <w:t>Medical Council of India. (2002). Indian Medical Council (Professional Conduct, Etiquette and Ethics) Regulations, 2002. https://www.nmc.org.in/rules-regulations/code-of-medical-ethics-regulations-2002/</w:t>
        </w:r>
      </w:hyperlink>
    </w:p>
    <w:p>
      <w:pPr>
        <w:pStyle w:val="Heading1"/>
      </w:pPr>
      <w:r>
        <w:t>9. Review</w:t>
      </w:r>
    </w:p>
    <w:p>
      <w:r>
        <w:t>This SOP is reviewed annually by the Medical Superintendent, or immediately following any stop-work event triggered by missing or invalid consent (per Section 6 of the PRE.4 policy).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1593/1/A1971-34.pdf" TargetMode="External"/><Relationship Id="rId10" Type="http://schemas.openxmlformats.org/officeDocument/2006/relationships/hyperlink" Target="https://www.indiacode.nic.in/handle/123456789/1937" TargetMode="External"/><Relationship Id="rId11" Type="http://schemas.openxmlformats.org/officeDocument/2006/relationships/hyperlink" Target="https://www.indiacode.nic.in/bitstream/123456789/15433/1/transplantation_of_human_organs_and_tissues_act,_1994.pdf" TargetMode="External"/><Relationship Id="rId12" Type="http://schemas.openxmlformats.org/officeDocument/2006/relationships/hyperlink" Target="https://www.indiacode.nic.in/bitstream/123456789/2254/1/a2017-16.pdf" TargetMode="External"/><Relationship Id="rId13" Type="http://schemas.openxmlformats.org/officeDocument/2006/relationships/hyperlink" Target="https://www.nmc.org.in/rules-regulations/code-of-medical-ethics-regulations-2002/" TargetMode="External"/><Relationship Id="rId14" Type="http://schemas.openxmlformats.org/officeDocument/2006/relationships/hyperlink" Target="https://indiankanoon.org/doc/71680523/" TargetMode="External"/><Relationship Id="rId15"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