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Standard Operating Procedure</w:t>
      </w:r>
    </w:p>
    <w:p>
      <w:r>
        <w:rPr>
          <w:b/>
          <w:sz w:val="26"/>
        </w:rPr>
        <w:t>Educating Patients and Families About Their Healthcare Needs</w:t>
      </w:r>
    </w:p>
    <w:p>
      <w:r>
        <w:t>«Hospital Name» — Supports PRE.5.a-j</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this SOP exist? (read this first if you're new)</w:t>
            </w:r>
          </w:p>
          <w:p>
            <w:r>
              <w:rPr>
                <w:sz w:val="20"/>
              </w:rPr>
              <w:t>A patient who leaves the hospital without actually understanding their medication, their diet, or their disease is far more likely to end up back here. This SOP is the playbook for making sure real education — matched to what each patient can actually understand — happens at every stage of care, not just handed out as a leaflet on the way out the door.</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20"/>
        <w:gridCol w:w="2420"/>
        <w:gridCol w:w="2420"/>
        <w:gridCol w:w="2420"/>
      </w:tblGrid>
      <w:tr>
        <w:tc>
          <w:tcPr>
            <w:tcW w:type="dxa" w:w="2420"/>
            <w:shd w:val="clear" w:fill="D9E2F3"/>
          </w:tcPr>
          <w:p>
            <w:r/>
            <w:r>
              <w:rPr>
                <w:b/>
                <w:sz w:val="20"/>
              </w:rPr>
              <w:t>SOP No.</w:t>
            </w:r>
          </w:p>
        </w:tc>
        <w:tc>
          <w:tcPr>
            <w:tcW w:type="dxa" w:w="2420"/>
          </w:tcPr>
          <w:p>
            <w:r/>
            <w:r>
              <w:rPr>
                <w:b w:val="0"/>
                <w:sz w:val="20"/>
              </w:rPr>
              <w:t>[Hospital to define]</w:t>
            </w:r>
          </w:p>
        </w:tc>
        <w:tc>
          <w:tcPr>
            <w:tcW w:type="dxa" w:w="2420"/>
            <w:shd w:val="clear" w:fill="D9E2F3"/>
          </w:tcPr>
          <w:p>
            <w:r/>
            <w:r>
              <w:rPr>
                <w:b/>
                <w:sz w:val="20"/>
              </w:rPr>
              <w:t>Version</w:t>
            </w:r>
          </w:p>
        </w:tc>
        <w:tc>
          <w:tcPr>
            <w:tcW w:type="dxa" w:w="2420"/>
          </w:tcPr>
          <w:p>
            <w:r/>
            <w:r>
              <w:rPr>
                <w:b w:val="0"/>
                <w:sz w:val="20"/>
              </w:rPr>
              <w:t>1.0</w:t>
            </w:r>
          </w:p>
        </w:tc>
      </w:tr>
      <w:tr>
        <w:tc>
          <w:tcPr>
            <w:tcW w:type="dxa" w:w="2420"/>
            <w:shd w:val="clear" w:fill="D9E2F3"/>
          </w:tcPr>
          <w:p>
            <w:r/>
            <w:r>
              <w:rPr>
                <w:b/>
                <w:sz w:val="20"/>
              </w:rPr>
              <w:t>Effective Date</w:t>
            </w:r>
          </w:p>
        </w:tc>
        <w:tc>
          <w:tcPr>
            <w:tcW w:type="dxa" w:w="2420"/>
          </w:tcPr>
          <w:p>
            <w:r/>
            <w:r>
              <w:rPr>
                <w:b w:val="0"/>
                <w:sz w:val="20"/>
              </w:rPr>
              <w:t>________</w:t>
            </w:r>
          </w:p>
        </w:tc>
        <w:tc>
          <w:tcPr>
            <w:tcW w:type="dxa" w:w="2420"/>
            <w:shd w:val="clear" w:fill="D9E2F3"/>
          </w:tcPr>
          <w:p>
            <w:r/>
            <w:r>
              <w:rPr>
                <w:b/>
                <w:sz w:val="20"/>
              </w:rPr>
              <w:t>Review Frequency</w:t>
            </w:r>
          </w:p>
        </w:tc>
        <w:tc>
          <w:tcPr>
            <w:tcW w:type="dxa" w:w="2420"/>
          </w:tcPr>
          <w:p>
            <w:r/>
            <w:r>
              <w:rPr>
                <w:b w:val="0"/>
                <w:sz w:val="20"/>
              </w:rPr>
              <w:t>Annual, or on change</w:t>
            </w:r>
          </w:p>
        </w:tc>
      </w:tr>
      <w:tr>
        <w:tc>
          <w:tcPr>
            <w:tcW w:type="dxa" w:w="2420"/>
            <w:shd w:val="clear" w:fill="D9E2F3"/>
          </w:tcPr>
          <w:p>
            <w:r/>
            <w:r>
              <w:rPr>
                <w:b/>
                <w:sz w:val="20"/>
              </w:rPr>
              <w:t>Prepared By</w:t>
            </w:r>
          </w:p>
        </w:tc>
        <w:tc>
          <w:tcPr>
            <w:tcW w:type="dxa" w:w="7260"/>
            <w:gridSpan w:val="3"/>
          </w:tcPr>
          <w:p>
            <w:r/>
            <w:r>
              <w:rPr>
                <w:b w:val="0"/>
                <w:sz w:val="20"/>
              </w:rPr>
              <w:t>Quality Coordinator   Name: ________   Signature: ________</w:t>
            </w:r>
          </w:p>
        </w:tc>
      </w:tr>
      <w:tr>
        <w:tc>
          <w:tcPr>
            <w:tcW w:type="dxa" w:w="2420"/>
            <w:shd w:val="clear" w:fill="D9E2F3"/>
          </w:tcPr>
          <w:p>
            <w:r/>
            <w:r>
              <w:rPr>
                <w:b/>
                <w:sz w:val="20"/>
              </w:rPr>
              <w:t>Approved By</w:t>
            </w:r>
          </w:p>
        </w:tc>
        <w:tc>
          <w:tcPr>
            <w:tcW w:type="dxa" w:w="7260"/>
            <w:gridSpan w:val="3"/>
          </w:tcPr>
          <w:p>
            <w:r/>
            <w:r>
              <w:rPr>
                <w:b w:val="0"/>
                <w:sz w:val="20"/>
              </w:rPr>
              <w:t>Medical Superintendent   Name: ________   Signature: ________</w:t>
            </w:r>
          </w:p>
        </w:tc>
      </w:tr>
    </w:tbl>
    <w:p>
      <w:pPr>
        <w:pStyle w:val="Heading1"/>
      </w:pPr>
      <w:r>
        <w:t>1. Purpose</w:t>
      </w:r>
    </w:p>
    <w:p>
      <w:r>
        <w:t>This SOP describes how «Hospital Name» educates patients and families — in a language and format they understand — on medication safety, food-drug interaction, diet and nutrition, immunisation, pain management, disease process, and preventing healthcare-associated infections, and how special educational needs and patient engagement are addressed.</w:t>
      </w:r>
    </w:p>
    <w:p>
      <w:pPr>
        <w:pStyle w:val="Heading1"/>
      </w:pPr>
      <w:r>
        <w:t>2. Scope</w:t>
      </w:r>
    </w:p>
    <w:p>
      <w:r>
        <w:t>Applies to all patients and families receiving care at «Hospital Name», across out-patient and in-patient settings, and to nursing, pharmacy, dietetics and clinical staff who deliver education.</w:t>
      </w:r>
    </w:p>
    <w:p>
      <w:pPr>
        <w:pStyle w:val="Heading1"/>
      </w:pPr>
      <w:r>
        <w:t>3. Responsibility</w:t>
      </w:r>
    </w:p>
    <w:p>
      <w:r>
        <w:t xml:space="preserve">Admitting/Ward Nurse: </w:t>
      </w:r>
      <w:r>
        <w:t>screens the patient/family for language and understanding, delivers education, and identifies special educational needs (Records 1, 14-15).</w:t>
      </w:r>
    </w:p>
    <w:p>
      <w:r>
        <w:t xml:space="preserve">Pharmacist: </w:t>
      </w:r>
      <w:r>
        <w:t>maintains the drug-education and food-drug interaction lists and counsels on listed drugs (Records 2-5).</w:t>
      </w:r>
    </w:p>
    <w:p>
      <w:r>
        <w:t xml:space="preserve">Dietician: </w:t>
      </w:r>
      <w:r>
        <w:t>delivers diet and nutrition education for in-patients and ordered out-patients (Records 6-7).</w:t>
      </w:r>
    </w:p>
    <w:p>
      <w:r>
        <w:t xml:space="preserve">Treating Doctor: </w:t>
      </w:r>
      <w:r>
        <w:t>determines adult immunisation, pain-management and disease-specific education content (Records 8, 10-12).</w:t>
      </w:r>
    </w:p>
    <w:p>
      <w:r>
        <w:t xml:space="preserve">Quality Coordinator: </w:t>
      </w:r>
      <w:r>
        <w:t>maintains patient engagement records and reviews education records periodically (Record 16).</w:t>
      </w:r>
    </w:p>
    <w:p>
      <w:pPr>
        <w:pStyle w:val="Heading1"/>
      </w:pPr>
      <w:r>
        <w:t>4. Plain-Language Glossary</w:t>
      </w:r>
    </w:p>
    <w:p>
      <w:r>
        <w:t>If a word below is unfamiliar, this is what it means in this SOP:</w:t>
      </w:r>
    </w:p>
    <w:p>
      <w:pPr>
        <w:pStyle w:val="ListParagraph"/>
      </w:pPr>
      <w:r>
        <w:rPr>
          <w:b/>
        </w:rPr>
        <w:t xml:space="preserve">Universal Immunisation Programme (UIP): </w:t>
      </w:r>
      <w:r>
        <w:t>India's national schedule of vaccines for children, used as the benchmark for what a family should be told about their child's immunisation.</w:t>
      </w:r>
    </w:p>
    <w:p>
      <w:pPr>
        <w:pStyle w:val="ListParagraph"/>
      </w:pPr>
      <w:r>
        <w:rPr>
          <w:b/>
        </w:rPr>
        <w:t xml:space="preserve">Healthcare-associated infection (HAI): </w:t>
      </w:r>
      <w:r>
        <w:t>An infection a patient picks up during a hospital stay that wasn't the reason they were admitted — often preventable through basic hygiene.</w:t>
      </w:r>
    </w:p>
    <w:p>
      <w:pPr>
        <w:pStyle w:val="ListParagraph"/>
      </w:pPr>
      <w:r>
        <w:rPr>
          <w:b/>
        </w:rPr>
        <w:t xml:space="preserve">Teach-back: </w:t>
      </w:r>
      <w:r>
        <w:t>A way of checking that education actually landed: instead of asking 'do you understand?', you ask the patient to explain it back to you in their own words. If they can't, you re-explain differently — you don't just repeat the same words louder.</w:t>
      </w:r>
    </w:p>
    <w:p>
      <w:pPr>
        <w:pStyle w:val="ListParagraph"/>
      </w:pPr>
      <w:r>
        <w:rPr>
          <w:b/>
        </w:rPr>
        <w:t xml:space="preserve">WHO analgesic ladder: </w:t>
      </w:r>
      <w:r>
        <w:t>WHO's step-by-step approach to pain medication: start with a non-opioid, move to a mild opioid if pain persists, then a stronger opioid if it still persists — escalating only as needed rather than starting everyone on the strongest option.</w:t>
      </w:r>
    </w:p>
    <w:p>
      <w:pPr>
        <w:pStyle w:val="Heading1"/>
      </w:pPr>
      <w:r>
        <w:t>5. Procedure</w:t>
      </w:r>
    </w:p>
    <w:p>
      <w:pPr>
        <w:pStyle w:val="Heading2"/>
      </w:pPr>
      <w:r>
        <w:t>5.1 Screening and delivering education</w:t>
      </w:r>
    </w:p>
    <w:p>
      <w:r>
        <w:rPr>
          <w:b/>
          <w:i/>
        </w:rPr>
        <w:t xml:space="preserve">Why this step matters: </w:t>
      </w:r>
      <w:r>
        <w:rPr>
          <w:i/>
        </w:rPr>
        <w:t>Handing the same leaflet to every patient regardless of whether they can read it isn't education — it's paperwork.</w:t>
      </w:r>
    </w:p>
    <w:p>
      <w:r>
        <w:t>1. Screen every patient/family, at least informally, for understanding ability and language requirement (Record 1).</w:t>
      </w:r>
    </w:p>
    <w:p>
      <w:r>
        <w:t>2. Deliver education through counselling, printed material or audio-visual aids matching the language and format identified — use the teach-back technique (ask the patient to repeat the information in their own words) to confirm it was actually understood, not just delivered.</w:t>
      </w:r>
    </w:p>
    <w:p>
      <w:r>
        <w:rPr>
          <w:b/>
          <w:i/>
          <w:sz w:val="18"/>
        </w:rPr>
        <w:t xml:space="preserve">Technical source(s) for these steps: </w:t>
      </w:r>
    </w:p>
    <w:p>
      <w:pPr>
        <w:pStyle w:val="ListParagraph"/>
      </w:pPr>
      <w:hyperlink r:id="rId9">
        <w:r>
          <w:rPr>
            <w:color w:val="0563C1"/>
            <w:u w:val="single"/>
          </w:rPr>
          <w:t>Agency for Healthcare Research and Quality. (2020). Use the teach-back method: Tool #5 (Health Literacy Universal Precautions Toolkit, 3rd ed.).</w:t>
        </w:r>
      </w:hyperlink>
    </w:p>
    <w:p>
      <w:pPr>
        <w:pStyle w:val="Heading2"/>
      </w:pPr>
      <w:r>
        <w:t>5.2 Medication and food-drug interaction education</w:t>
      </w:r>
    </w:p>
    <w:p>
      <w:r>
        <w:rPr>
          <w:b/>
          <w:i/>
        </w:rPr>
        <w:t xml:space="preserve">Why this step matters: </w:t>
      </w:r>
      <w:r>
        <w:rPr>
          <w:i/>
        </w:rPr>
        <w:t>Some drugs are genuinely dangerous if taken wrong or combined with the wrong food — these are the ones this step is designed to never let slip through.</w:t>
      </w:r>
    </w:p>
    <w:p>
      <w:r>
        <w:t>1. Maintain the drug-education list (Record 2) and food-drug interaction list (Record 4); keep both current.</w:t>
      </w:r>
    </w:p>
    <w:p>
      <w:r>
        <w:t>2. Educate the patient/family whenever a listed drug is prescribed or dispensed, and log it (Records 3, 5).</w:t>
      </w:r>
    </w:p>
    <w:p>
      <w:pPr>
        <w:pStyle w:val="Heading2"/>
      </w:pPr>
      <w:r>
        <w:t>5.3 Diet, immunisation and pain-management education</w:t>
      </w:r>
    </w:p>
    <w:p>
      <w:r>
        <w:rPr>
          <w:b/>
          <w:i/>
        </w:rPr>
        <w:t xml:space="preserve">Why this step matters: </w:t>
      </w:r>
      <w:r>
        <w:rPr>
          <w:i/>
        </w:rPr>
        <w:t>These are the areas where a patient's own daily choices after discharge matter as much as anything done in the hospital.</w:t>
      </w:r>
    </w:p>
    <w:p>
      <w:r>
        <w:t>1. Deliver diet and nutrition education incorporating general healthy-diet recommendations to in-patients on therapeutic diets, and to out-patients when ordered (Records 6-7).</w:t>
      </w:r>
    </w:p>
    <w:p>
      <w:r>
        <w:t>2. Deliver paediatric immunisation education per the universal immunisation programme, and adult immunisation advice per the treating doctor's assessment (Records 8-9).</w:t>
      </w:r>
    </w:p>
    <w:p>
      <w:r>
        <w:t>3. Where appropriate, educate on pain-management techniques within the patient's personal, cultural and religious framework (Record 10); for cancer/palliative pain specifically, base the technique on WHO's three-step analgesic-ladder approach.</w:t>
      </w:r>
    </w:p>
    <w:p>
      <w:r>
        <w:rPr>
          <w:b/>
          <w:i/>
          <w:sz w:val="18"/>
        </w:rPr>
        <w:t xml:space="preserve">Technical source(s) for these steps: </w:t>
      </w:r>
    </w:p>
    <w:p>
      <w:pPr>
        <w:pStyle w:val="ListParagraph"/>
      </w:pPr>
      <w:hyperlink r:id="rId10">
        <w:r>
          <w:rPr>
            <w:color w:val="0563C1"/>
            <w:u w:val="single"/>
          </w:rPr>
          <w:t>Indian Council of Medical Research – National Institute of Nutrition. (2024). Dietary guidelines for Indians.</w:t>
        </w:r>
      </w:hyperlink>
    </w:p>
    <w:p>
      <w:pPr>
        <w:pStyle w:val="ListParagraph"/>
      </w:pPr>
      <w:hyperlink r:id="rId11">
        <w:r>
          <w:rPr>
            <w:color w:val="0563C1"/>
            <w:u w:val="single"/>
          </w:rPr>
          <w:t>National Health Mission, Ministry of Health and Family Welfare, Government of India. (n.d.). Universal Immunisation Programme.</w:t>
        </w:r>
      </w:hyperlink>
    </w:p>
    <w:p>
      <w:pPr>
        <w:pStyle w:val="ListParagraph"/>
      </w:pPr>
      <w:hyperlink r:id="rId12">
        <w:r>
          <w:rPr>
            <w:color w:val="0563C1"/>
            <w:u w:val="single"/>
          </w:rPr>
          <w:t>World Health Organization. (2018). WHO guidelines for the pharmacological and radiotherapeutic management of cancer pain in adults and adolescents.</w:t>
        </w:r>
      </w:hyperlink>
    </w:p>
    <w:p>
      <w:pPr>
        <w:pStyle w:val="Heading2"/>
      </w:pPr>
      <w:r>
        <w:t>5.4 Disease-specific and infection-prevention education</w:t>
      </w:r>
    </w:p>
    <w:p>
      <w:r>
        <w:rPr>
          <w:b/>
          <w:i/>
        </w:rPr>
        <w:t xml:space="preserve">Why this step matters: </w:t>
      </w:r>
      <w:r>
        <w:rPr>
          <w:i/>
        </w:rPr>
        <w:t>Understanding your own disease is what turns a patient from a passive recipient of care into someone who can actually manage their own health.</w:t>
      </w:r>
    </w:p>
    <w:p>
      <w:r>
        <w:t>1. Educate on the patient's specific disease process, complications, lifestyle modifications, diet and immunisation where appropriate, using booklets, videos or leaflets (Records 11-12).</w:t>
      </w:r>
    </w:p>
    <w:p>
      <w:r>
        <w:t>2. Educate every patient/family on preventing healthcare-associated infections, and confirm it on the admission checklist (Record 13).</w:t>
      </w:r>
    </w:p>
    <w:p>
      <w:r>
        <w:rPr>
          <w:b/>
          <w:i/>
          <w:sz w:val="18"/>
        </w:rPr>
        <w:t xml:space="preserve">Technical source(s) for these steps: </w:t>
      </w:r>
    </w:p>
    <w:p>
      <w:pPr>
        <w:pStyle w:val="ListParagraph"/>
      </w:pPr>
      <w:hyperlink r:id="rId13">
        <w:r>
          <w:rPr>
            <w:color w:val="0563C1"/>
            <w:u w:val="single"/>
          </w:rPr>
          <w:t>World Health Organization. (2016). Guidelines on core components of infection prevention and control programmes at the national and acute health care facility level.</w:t>
        </w:r>
      </w:hyperlink>
    </w:p>
    <w:p>
      <w:pPr>
        <w:pStyle w:val="Heading2"/>
      </w:pPr>
      <w:r>
        <w:t>5.5 Special educational needs and patient engagement</w:t>
      </w:r>
    </w:p>
    <w:p>
      <w:r>
        <w:rPr>
          <w:b/>
          <w:i/>
        </w:rPr>
        <w:t xml:space="preserve">Why this step matters: </w:t>
      </w:r>
      <w:r>
        <w:rPr>
          <w:i/>
        </w:rPr>
        <w:t>Real accommodation means changing how something is taught, not just noting that a need exists.</w:t>
      </w:r>
    </w:p>
    <w:p>
      <w:r>
        <w:t>1. Identify special educational needs during treatment and record them (Record 14); address the need through adapted counselling or materials (Record 15) — for a patient with a disability, this is a reasonable-accommodation duty, not an optional courtesy.</w:t>
      </w:r>
    </w:p>
    <w:p>
      <w:r>
        <w:t>2. Support patient engagement activities — support groups, advisory councils, safety champions — and log them (Record 16).</w:t>
      </w:r>
    </w:p>
    <w:p>
      <w:r>
        <w:rPr>
          <w:b/>
          <w:i/>
          <w:sz w:val="18"/>
        </w:rPr>
        <w:t xml:space="preserve">Technical source(s) for these steps: </w:t>
      </w:r>
    </w:p>
    <w:p>
      <w:pPr>
        <w:pStyle w:val="ListParagraph"/>
      </w:pPr>
      <w:hyperlink r:id="rId14">
        <w:r>
          <w:rPr>
            <w:color w:val="0563C1"/>
            <w:u w:val="single"/>
          </w:rPr>
          <w:t>Government of India. (2016). Rights of Persons with Disabilities Act, 2016.</w:t>
        </w:r>
      </w:hyperlink>
    </w:p>
    <w:p>
      <w:pPr>
        <w:pStyle w:val="ListParagraph"/>
      </w:pPr>
      <w:hyperlink r:id="rId15">
        <w:r>
          <w:rPr>
            <w:color w:val="0563C1"/>
            <w:u w:val="single"/>
          </w:rPr>
          <w:t>World Health Organization. (2016). Technical series on safer primary care: Patient engagement.</w:t>
        </w:r>
      </w:hyperlink>
    </w:p>
    <w:p>
      <w:pPr>
        <w:pStyle w:val="Heading1"/>
      </w:pPr>
      <w:r>
        <w:t>6. Records</w:t>
      </w:r>
    </w:p>
    <w:p>
      <w:r>
        <w:t>This SOP produces and maintains Records 1 through 16 listed above.</w:t>
      </w:r>
    </w:p>
    <w:p>
      <w:pPr>
        <w:pStyle w:val="Heading1"/>
      </w:pPr>
      <w:r>
        <w:t>7. Related Documents</w:t>
      </w:r>
    </w:p>
    <w:p>
      <w:pPr>
        <w:pStyle w:val="ListParagraph"/>
      </w:pPr>
      <w:r>
        <w:t>Policy on Information and Education about Healthcare Needs (HCO/PRE/POL/05) — PRE.5 policy</w:t>
      </w:r>
    </w:p>
    <w:p>
      <w:pPr>
        <w:pStyle w:val="ListParagraph"/>
      </w:pPr>
      <w:r>
        <w:t>PRE.5 Required Records — Records 1 through 16</w:t>
      </w:r>
    </w:p>
    <w:p>
      <w:pPr>
        <w:pStyle w:val="Heading1"/>
      </w:pPr>
      <w:r>
        <w:t>8. Where This SOP's Requirements Come From (Verified Sources)</w:t>
      </w:r>
    </w:p>
    <w:p>
      <w:pPr>
        <w:pStyle w:val="ListParagraph"/>
      </w:pPr>
      <w:hyperlink r:id="rId16">
        <w:r>
          <w:rPr>
            <w:color w:val="0563C1"/>
            <w:u w:val="single"/>
          </w:rPr>
          <w:t>National Accreditation Board for Hospitals and Healthcare Providers. (2025). NABH accreditation standards for hospitals (6th ed.), PRE.5. ISBN 978-81-965264-9-8. https://portal.nabh.co/images/Standards/NABH%20Hospital%20Accreditation%20Standard%206th%20Edition%20January%202025.pdf</w:t>
        </w:r>
      </w:hyperlink>
    </w:p>
    <w:p>
      <w:pPr>
        <w:pStyle w:val="Heading1"/>
      </w:pPr>
      <w:r>
        <w:t>9. Review</w:t>
      </w:r>
    </w:p>
    <w:p>
      <w:r>
        <w:t>This SOP is reviewed annually by the Quality Coordinator, or immediately if the hospital's quality-monitoring/CAPA process finds a recurring education gap.</w:t>
      </w:r>
    </w:p>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ahrq.gov/health-literacy/improve/precautions/tool5.html" TargetMode="External"/><Relationship Id="rId10" Type="http://schemas.openxmlformats.org/officeDocument/2006/relationships/hyperlink" Target="https://nin.res.in/dietaryguidelines/pdfjs/locale/DGI_2024.pdf" TargetMode="External"/><Relationship Id="rId11" Type="http://schemas.openxmlformats.org/officeDocument/2006/relationships/hyperlink" Target="https://nhm.gov.in/index1.php?lang=1&amp;level=2&amp;sublinkid=824&amp;lid=220" TargetMode="External"/><Relationship Id="rId12" Type="http://schemas.openxmlformats.org/officeDocument/2006/relationships/hyperlink" Target="https://www.who.int/publications/i/item/9789241550390" TargetMode="External"/><Relationship Id="rId13" Type="http://schemas.openxmlformats.org/officeDocument/2006/relationships/hyperlink" Target="https://www.who.int/publications/i/item/9789241549929" TargetMode="External"/><Relationship Id="rId14" Type="http://schemas.openxmlformats.org/officeDocument/2006/relationships/hyperlink" Target="https://www.indiacode.nic.in/bitstream/123456789/9320/1/disabilitiesacta2016-49.pdf" TargetMode="External"/><Relationship Id="rId15" Type="http://schemas.openxmlformats.org/officeDocument/2006/relationships/hyperlink" Target="https://www.who.int/publications-detail-redirect/patient-engagement" TargetMode="External"/><Relationship Id="rId16" Type="http://schemas.openxmlformats.org/officeDocument/2006/relationships/hyperlink" Target="https://portal.nabh.co/images/Standards/NABH%20Hospital%20Accreditation%20Standard%206th%20Edition%20January%202025.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