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2"/>
        </w:rPr>
        <w:t>Standard Operating Procedure</w:t>
      </w:r>
    </w:p>
    <w:p>
      <w:r>
        <w:rPr>
          <w:b/>
          <w:sz w:val="26"/>
        </w:rPr>
        <w:t>Making Pricing, Tariff and Cost Estimate Information Available to Patients</w:t>
      </w:r>
    </w:p>
    <w:p>
      <w:r>
        <w:t>«Hospital Name» — Supports PRE.6.a-d</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this SOP exist? (read this first if you're new)</w:t>
            </w:r>
          </w:p>
          <w:p>
            <w:r>
              <w:rPr>
                <w:sz w:val="20"/>
              </w:rPr>
              <w:t>A surprise medical bill is one of the fastest ways to destroy a patient's trust in a hospital, even after excellent clinical care. This SOP exists to make sure cost is never a surprise — pricing is visible on arrival, a real estimate is given up front, and if anything changes mid-treatment, the patient hears about the cost impact the same day, not at discharge.</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20"/>
        <w:gridCol w:w="2420"/>
        <w:gridCol w:w="2420"/>
        <w:gridCol w:w="2420"/>
      </w:tblGrid>
      <w:tr>
        <w:tc>
          <w:tcPr>
            <w:tcW w:type="dxa" w:w="2420"/>
            <w:shd w:val="clear" w:fill="D9E2F3"/>
          </w:tcPr>
          <w:p>
            <w:r/>
            <w:r>
              <w:rPr>
                <w:b/>
                <w:sz w:val="20"/>
              </w:rPr>
              <w:t>SOP No.</w:t>
            </w:r>
          </w:p>
        </w:tc>
        <w:tc>
          <w:tcPr>
            <w:tcW w:type="dxa" w:w="2420"/>
          </w:tcPr>
          <w:p>
            <w:r/>
            <w:r>
              <w:rPr>
                <w:b w:val="0"/>
                <w:sz w:val="20"/>
              </w:rPr>
              <w:t>[Hospital to define]</w:t>
            </w:r>
          </w:p>
        </w:tc>
        <w:tc>
          <w:tcPr>
            <w:tcW w:type="dxa" w:w="2420"/>
            <w:shd w:val="clear" w:fill="D9E2F3"/>
          </w:tcPr>
          <w:p>
            <w:r/>
            <w:r>
              <w:rPr>
                <w:b/>
                <w:sz w:val="20"/>
              </w:rPr>
              <w:t>Version</w:t>
            </w:r>
          </w:p>
        </w:tc>
        <w:tc>
          <w:tcPr>
            <w:tcW w:type="dxa" w:w="2420"/>
          </w:tcPr>
          <w:p>
            <w:r/>
            <w:r>
              <w:rPr>
                <w:b w:val="0"/>
                <w:sz w:val="20"/>
              </w:rPr>
              <w:t>1.0</w:t>
            </w:r>
          </w:p>
        </w:tc>
      </w:tr>
      <w:tr>
        <w:tc>
          <w:tcPr>
            <w:tcW w:type="dxa" w:w="2420"/>
            <w:shd w:val="clear" w:fill="D9E2F3"/>
          </w:tcPr>
          <w:p>
            <w:r/>
            <w:r>
              <w:rPr>
                <w:b/>
                <w:sz w:val="20"/>
              </w:rPr>
              <w:t>Effective Date</w:t>
            </w:r>
          </w:p>
        </w:tc>
        <w:tc>
          <w:tcPr>
            <w:tcW w:type="dxa" w:w="2420"/>
          </w:tcPr>
          <w:p>
            <w:r/>
            <w:r>
              <w:rPr>
                <w:b w:val="0"/>
                <w:sz w:val="20"/>
              </w:rPr>
              <w:t>________</w:t>
            </w:r>
          </w:p>
        </w:tc>
        <w:tc>
          <w:tcPr>
            <w:tcW w:type="dxa" w:w="2420"/>
            <w:shd w:val="clear" w:fill="D9E2F3"/>
          </w:tcPr>
          <w:p>
            <w:r/>
            <w:r>
              <w:rPr>
                <w:b/>
                <w:sz w:val="20"/>
              </w:rPr>
              <w:t>Review Frequency</w:t>
            </w:r>
          </w:p>
        </w:tc>
        <w:tc>
          <w:tcPr>
            <w:tcW w:type="dxa" w:w="2420"/>
          </w:tcPr>
          <w:p>
            <w:r/>
            <w:r>
              <w:rPr>
                <w:b w:val="0"/>
                <w:sz w:val="20"/>
              </w:rPr>
              <w:t>Annual, or on change</w:t>
            </w:r>
          </w:p>
        </w:tc>
      </w:tr>
      <w:tr>
        <w:tc>
          <w:tcPr>
            <w:tcW w:type="dxa" w:w="2420"/>
            <w:shd w:val="clear" w:fill="D9E2F3"/>
          </w:tcPr>
          <w:p>
            <w:r/>
            <w:r>
              <w:rPr>
                <w:b/>
                <w:sz w:val="20"/>
              </w:rPr>
              <w:t>Prepared By</w:t>
            </w:r>
          </w:p>
        </w:tc>
        <w:tc>
          <w:tcPr>
            <w:tcW w:type="dxa" w:w="7260"/>
            <w:gridSpan w:val="3"/>
          </w:tcPr>
          <w:p>
            <w:r/>
            <w:r>
              <w:rPr>
                <w:b w:val="0"/>
                <w:sz w:val="20"/>
              </w:rPr>
              <w:t>Quality Coordinator   Name: ________   Signature: ________</w:t>
            </w:r>
          </w:p>
        </w:tc>
      </w:tr>
      <w:tr>
        <w:tc>
          <w:tcPr>
            <w:tcW w:type="dxa" w:w="2420"/>
            <w:shd w:val="clear" w:fill="D9E2F3"/>
          </w:tcPr>
          <w:p>
            <w:r/>
            <w:r>
              <w:rPr>
                <w:b/>
                <w:sz w:val="20"/>
              </w:rPr>
              <w:t>Approved By</w:t>
            </w:r>
          </w:p>
        </w:tc>
        <w:tc>
          <w:tcPr>
            <w:tcW w:type="dxa" w:w="7260"/>
            <w:gridSpan w:val="3"/>
          </w:tcPr>
          <w:p>
            <w:r/>
            <w:r>
              <w:rPr>
                <w:b w:val="0"/>
                <w:sz w:val="20"/>
              </w:rPr>
              <w:t>Medical Superintendent   Name: ________   Signature: ________</w:t>
            </w:r>
          </w:p>
        </w:tc>
      </w:tr>
    </w:tbl>
    <w:p>
      <w:pPr>
        <w:pStyle w:val="Heading1"/>
      </w:pPr>
      <w:r>
        <w:t>1. Purpose</w:t>
      </w:r>
    </w:p>
    <w:p>
      <w:r>
        <w:t>This SOP describes how «Hospital Name» displays its pricing policy, maintains and follows its tariff list, gives patients cost estimates, and informs them of financial implications when the care plan changes.</w:t>
      </w:r>
    </w:p>
    <w:p>
      <w:pPr>
        <w:pStyle w:val="Heading1"/>
      </w:pPr>
      <w:r>
        <w:t>2. Scope</w:t>
      </w:r>
    </w:p>
    <w:p>
      <w:r>
        <w:t>Applies to all patients and families across out-patient, emergency, ICU and in-patient settings.</w:t>
      </w:r>
    </w:p>
    <w:p>
      <w:pPr>
        <w:pStyle w:val="Heading1"/>
      </w:pPr>
      <w:r>
        <w:t>3. Responsibility</w:t>
      </w:r>
    </w:p>
    <w:p>
      <w:r>
        <w:t xml:space="preserve">Patient Accounts In-Charge: </w:t>
      </w:r>
      <w:r>
        <w:t>maintains the pricing policy display, the tariff list, and reconciles charges against the tariff (Records 1-5).</w:t>
      </w:r>
    </w:p>
    <w:p>
      <w:r>
        <w:t xml:space="preserve">Admission/Registration Desk: </w:t>
      </w:r>
      <w:r>
        <w:t>gives cost estimates and discusses any limitation (Records 6-7).</w:t>
      </w:r>
    </w:p>
    <w:p>
      <w:r>
        <w:t xml:space="preserve">Nursing In-Charge / Treating Doctor: </w:t>
      </w:r>
      <w:r>
        <w:t>informs the patient/family of financial implications when the care plan changes (Records 8-9).</w:t>
      </w:r>
    </w:p>
    <w:p>
      <w:pPr>
        <w:pStyle w:val="Heading1"/>
      </w:pPr>
      <w:r>
        <w:t>4. Plain-Language Glossary</w:t>
      </w:r>
    </w:p>
    <w:p>
      <w:r>
        <w:t>If a word below is unfamiliar, this is what it means in this SOP:</w:t>
      </w:r>
    </w:p>
    <w:p>
      <w:pPr>
        <w:pStyle w:val="ListParagraph"/>
      </w:pPr>
      <w:r>
        <w:rPr>
          <w:b/>
        </w:rPr>
        <w:t xml:space="preserve">Tariff: </w:t>
      </w:r>
      <w:r>
        <w:t>The hospital's full published price list for chargeable items and services.</w:t>
      </w:r>
    </w:p>
    <w:p>
      <w:pPr>
        <w:pStyle w:val="ListParagraph"/>
      </w:pPr>
      <w:r>
        <w:rPr>
          <w:b/>
        </w:rPr>
        <w:t xml:space="preserve">Care-plan change: </w:t>
      </w:r>
      <w:r>
        <w:t>Any meaningful shift in a patient's treatment — for example being moved to ICU, or switching from medical management to surgery — that also changes what it will cost.</w:t>
      </w:r>
    </w:p>
    <w:p>
      <w:pPr>
        <w:pStyle w:val="Heading1"/>
      </w:pPr>
      <w:r>
        <w:t>5. Procedure</w:t>
      </w:r>
    </w:p>
    <w:p>
      <w:pPr>
        <w:pStyle w:val="Heading2"/>
      </w:pPr>
      <w:r>
        <w:t>5.1 Displaying the pricing policy</w:t>
      </w:r>
    </w:p>
    <w:p>
      <w:r>
        <w:rPr>
          <w:b/>
          <w:i/>
        </w:rPr>
        <w:t xml:space="preserve">Why this step matters: </w:t>
      </w:r>
      <w:r>
        <w:rPr>
          <w:i/>
        </w:rPr>
        <w:t>Cost surprises usually start with a patient never seeing basic pricing information at all, on day one.</w:t>
      </w:r>
    </w:p>
    <w:p>
      <w:r>
        <w:t>1. Display key pricing components — consultation, bed, nursing charges and security deposit — near the registration/admission desk for out-patient, emergency, ICU and in-patient settings (Record 1), in the local language and English, at a conspicuous place, per the statutory display requirement for clinical establishments.</w:t>
      </w:r>
    </w:p>
    <w:p>
      <w:r>
        <w:t>2. Audit the display periodically across all settings (Record 2).</w:t>
      </w:r>
    </w:p>
    <w:p>
      <w:r>
        <w:rPr>
          <w:b/>
          <w:i/>
          <w:sz w:val="18"/>
        </w:rPr>
        <w:t xml:space="preserve">Technical source(s) for these steps: </w:t>
      </w:r>
    </w:p>
    <w:p>
      <w:pPr>
        <w:pStyle w:val="ListParagraph"/>
      </w:pPr>
      <w:hyperlink r:id="rId9">
        <w:r>
          <w:rPr>
            <w:color w:val="0563C1"/>
            <w:u w:val="single"/>
          </w:rPr>
          <w:t>Government of India. (2012). Clinical Establishments (Central Government) Rules, 2012, Rule 9(i).</w:t>
        </w:r>
      </w:hyperlink>
    </w:p>
    <w:p>
      <w:pPr>
        <w:pStyle w:val="Heading2"/>
      </w:pPr>
      <w:r>
        <w:t>5.2 Maintaining the tariff list</w:t>
      </w:r>
    </w:p>
    <w:p>
      <w:r>
        <w:rPr>
          <w:b/>
          <w:i/>
        </w:rPr>
        <w:t xml:space="preserve">Why this step matters: </w:t>
      </w:r>
      <w:r>
        <w:rPr>
          <w:i/>
        </w:rPr>
        <w:t>A tariff that isn't actually checked against real bills is decoration, not a control.</w:t>
      </w:r>
    </w:p>
    <w:p>
      <w:r>
        <w:t>1. Keep an updated, dated tariff list available for patient review (Record 3).</w:t>
      </w:r>
    </w:p>
    <w:p>
      <w:r>
        <w:t>2. Reconcile sampled bills against the tariff list and confirm no undisclosed additional charge was applied (Records 4-5).</w:t>
      </w:r>
    </w:p>
    <w:p>
      <w:r>
        <w:rPr>
          <w:b/>
          <w:i/>
          <w:sz w:val="18"/>
        </w:rPr>
        <w:t xml:space="preserve">Technical source(s) for these steps: </w:t>
      </w:r>
    </w:p>
    <w:p>
      <w:pPr>
        <w:pStyle w:val="ListParagraph"/>
      </w:pPr>
      <w:hyperlink r:id="rId9">
        <w:r>
          <w:rPr>
            <w:color w:val="0563C1"/>
            <w:u w:val="single"/>
          </w:rPr>
          <w:t>Government of India. (2012). Clinical Establishments (Central Government) Rules, 2012, Rule 9(i).</w:t>
        </w:r>
      </w:hyperlink>
    </w:p>
    <w:p>
      <w:pPr>
        <w:pStyle w:val="Heading2"/>
      </w:pPr>
      <w:r>
        <w:t>5.3 Giving cost estimates</w:t>
      </w:r>
    </w:p>
    <w:p>
      <w:r>
        <w:rPr>
          <w:b/>
          <w:i/>
        </w:rPr>
        <w:t xml:space="preserve">Why this step matters: </w:t>
      </w:r>
      <w:r>
        <w:rPr>
          <w:i/>
        </w:rPr>
        <w:t>An estimate given after treatment has already started is too late to be useful to the patient's decision-making.</w:t>
      </w:r>
    </w:p>
    <w:p>
      <w:r>
        <w:t>1. Give every patient a written estimate of expected treatment costs, based on the treatment plan, in consultation with the treating doctor (Record 6) — note this individualised-estimate practice goes beyond the statutory minimum (which requires rate display, not a per-patient estimate), so treat it as this hospital's own added standard, not a cited external mandate.</w:t>
      </w:r>
    </w:p>
    <w:p>
      <w:r>
        <w:t>2. Discuss any limitation of the estimate — for example for emergency admissions (Record 7).</w:t>
      </w:r>
    </w:p>
    <w:p>
      <w:pPr>
        <w:pStyle w:val="Heading2"/>
      </w:pPr>
      <w:r>
        <w:t>5.4 Communicating financial implications of care-plan changes</w:t>
      </w:r>
    </w:p>
    <w:p>
      <w:r>
        <w:rPr>
          <w:b/>
          <w:i/>
        </w:rPr>
        <w:t xml:space="preserve">Why this step matters: </w:t>
      </w:r>
      <w:r>
        <w:rPr>
          <w:i/>
        </w:rPr>
        <w:t>This is the exact moment most surprise bills are created — catching it here prevents the complaint later.</w:t>
      </w:r>
    </w:p>
    <w:p>
      <w:r>
        <w:t>1. Whenever the care plan changes — ICU transfer, medical-to-surgical shift, further expensive investigations — inform the patient/family of the financial implications the same day (Record 8).</w:t>
      </w:r>
    </w:p>
    <w:p>
      <w:r>
        <w:t>2. At discharge, confirm no surprise charge arose from a known care-plan change (Record 9).</w:t>
      </w:r>
    </w:p>
    <w:p>
      <w:pPr>
        <w:pStyle w:val="Heading1"/>
      </w:pPr>
      <w:r>
        <w:t>6. Records</w:t>
      </w:r>
    </w:p>
    <w:p>
      <w:r>
        <w:t>This SOP produces and maintains Records 1 through 9 listed above.</w:t>
      </w:r>
    </w:p>
    <w:p>
      <w:pPr>
        <w:pStyle w:val="Heading1"/>
      </w:pPr>
      <w:r>
        <w:t>7. Related Documents</w:t>
      </w:r>
    </w:p>
    <w:p>
      <w:pPr>
        <w:pStyle w:val="ListParagraph"/>
      </w:pPr>
      <w:r>
        <w:t>Policy on Information on Expected Costs (HCO/PRE/POL/06) — PRE.6 policy</w:t>
      </w:r>
    </w:p>
    <w:p>
      <w:pPr>
        <w:pStyle w:val="ListParagraph"/>
      </w:pPr>
      <w:r>
        <w:t>PRE.6 Required Records — Records 1 through 9</w:t>
      </w:r>
    </w:p>
    <w:p>
      <w:pPr>
        <w:pStyle w:val="Heading1"/>
      </w:pPr>
      <w:r>
        <w:t>8. Where This SOP's Requirements Come From (Verified Sources)</w:t>
      </w:r>
    </w:p>
    <w:p>
      <w:pPr>
        <w:pStyle w:val="ListParagraph"/>
      </w:pPr>
      <w:hyperlink r:id="rId10">
        <w:r>
          <w:rPr>
            <w:color w:val="0563C1"/>
            <w:u w:val="single"/>
          </w:rPr>
          <w:t>National Accreditation Board for Hospitals and Healthcare Providers. (2025). NABH accreditation standards for hospitals (6th ed.), PRE.6. ISBN 978-81-965264-9-8. https://portal.nabh.co/images/Standards/NABH%20Hospital%20Accreditation%20Standard%206th%20Edition%20January%202025.pdf</w:t>
        </w:r>
      </w:hyperlink>
    </w:p>
    <w:p>
      <w:pPr>
        <w:pStyle w:val="Heading1"/>
      </w:pPr>
      <w:r>
        <w:t>9. Review</w:t>
      </w:r>
    </w:p>
    <w:p>
      <w:r>
        <w:t>This SOP is reviewed annually by the Patient Accounts In-Charge, or immediately if a surprise-charge complaint is upheld.</w:t>
      </w:r>
    </w:p>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indiankanoon.org/doc/87780753/" TargetMode="External"/><Relationship Id="rId10" Type="http://schemas.openxmlformats.org/officeDocument/2006/relationships/hyperlink" Target="https://portal.nabh.co/images/Standards/NABH%20Hospital%20Accreditation%20Standard%206th%20Edition%20January%202025.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