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and Rational Prescription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at «Hospital Name» are prescribed rationally and meet defined minimum requirements every time, drug allergies are checked before every prescription, verbal orders follow a documented safe process, and medications are reconciled at every transition in a patient's care.</w:t>
      </w:r>
    </w:p>
    <w:p>
      <w:pPr>
        <w:pStyle w:val="Heading1"/>
      </w:pPr>
      <w:r>
        <w:t>1. Purpose</w:t>
      </w:r>
    </w:p>
    <w:p>
      <w:pPr/>
      <w:r>
        <w:t>This policy explains how «Hospital Name» ensures rational prescribing, applies minimum prescription requirements, checks drug allergies and adverse drug reactions before prescribing, reconciles medications at transitions of care, controls verbal orders, and audits prescriptions for safety.</w:t>
      </w:r>
    </w:p>
    <w:p>
      <w:pPr/>
      <w:r>
        <w:t>This policy does not cover storage, dispensing, or administration of medications in detail — those are covered in other hospital policies.</w:t>
      </w:r>
    </w:p>
    <w:p>
      <w:pPr>
        <w:pStyle w:val="Heading1"/>
      </w:pPr>
      <w:r>
        <w:t>2. Scope</w:t>
      </w:r>
    </w:p>
    <w:p>
      <w:pPr/>
      <w:r>
        <w:t>This policy applies to all doctors who prescribe medications, and to pharmacy and nursing staff involved in checking, dispensing, and administering them, at «Hospital Name».</w:t>
      </w:r>
    </w:p>
    <w:p>
      <w:pPr>
        <w:pStyle w:val="Heading1"/>
      </w:pPr>
      <w:r>
        <w:t>3. Policy standards</w:t>
      </w:r>
    </w:p>
    <w:p>
      <w:pPr/>
      <w:r>
        <w:t>«Hospital Name» prescribes medications in line with rational-prescribing good practice for both outpatients and inpatients, applies defined minimum requirements to every prescription, checks drug allergies and previous adverse reactions before prescribing, gives clinicians a mechanism to help avoid interactions and dosing errors, reconciles medications at every transition of care, controls verbal orders through a documented process, and audits prescriptions monthly for safety and rationality, acting on the findings where appropriate.</w:t>
      </w:r>
    </w:p>
    <w:p>
      <w:pPr/>
      <w:r>
        <w:t>Staff follow the written guidance below and keep the records it requires.</w:t>
      </w:r>
    </w:p>
    <w:p>
      <w:pPr>
        <w:pStyle w:val="Heading1"/>
      </w:pPr>
      <w:r>
        <w:t>4. Non-negotiable rules</w:t>
      </w:r>
    </w:p>
    <w:p>
      <w:pPr>
        <w:pStyle w:val="ListBullet"/>
      </w:pPr>
      <w:r>
        <w:t>Do not prescribe outside of good practice and guidelines for rational prescribing — this applies to both outpatient and inpatient care — and do not skip training clinicians on rational prescribing.</w:t>
      </w:r>
    </w:p>
    <w:p>
      <w:pPr>
        <w:pStyle w:val="ListBullet"/>
      </w:pPr>
      <w:r>
        <w:t>Do not accept, dispense, or administer a prescription that fails «Hospital Name»'s determined minimum requirements: patient name, unique hospital number, drug name (generic composition, except for vitamin or mineral combinations), strength, dosage instruction, duration and total quantity, and the prescribing doctor's name, signature, and registration number. Do not use error-prone abbreviations, and write every prescription in capital letters.</w:t>
      </w:r>
    </w:p>
    <w:p>
      <w:pPr>
        <w:pStyle w:val="ListBullet"/>
      </w:pPr>
      <w:r>
        <w:t>Do not prescribe, or transcribe a prescription for action, without first ascertaining the patient's drug allergies and previous adverse drug reactions.</w:t>
      </w:r>
    </w:p>
    <w:p>
      <w:pPr>
        <w:pStyle w:val="ListBullet"/>
      </w:pPr>
      <w:r>
        <w:t>Do not skip medication reconciliation at admission, at transfer between wards or departments, or at discharge, and do not leave it undocumented.</w:t>
      </w:r>
    </w:p>
    <w:p>
      <w:pPr>
        <w:pStyle w:val="ListBullet"/>
      </w:pPr>
      <w:r>
        <w:t>Do not act on a verbal medication order outside «Hospital Name»'s documented verbal-order process — including read-back, documentation at the time it is received, and countersignature by the ordering doctor within 24 hours.</w:t>
      </w:r>
    </w:p>
    <w:p>
      <w:pPr>
        <w:pStyle w:val="ListBullet"/>
      </w:pPr>
      <w:r>
        <w:t>Do not skip the monthly medication order audit using a representative sample, and do not leave the corrective or preventive action decision undocumented where the audit calls for one.</w:t>
      </w:r>
    </w:p>
    <w:p>
      <w:pPr>
        <w:pStyle w:val="Heading1"/>
      </w:pPr>
      <w:r>
        <w:t>5. What we do</w:t>
      </w:r>
    </w:p>
    <w:p>
      <w:pPr>
        <w:pStyle w:val="Heading2"/>
      </w:pPr>
      <w:r>
        <w:t>5.1 Prescribe rationally</w:t>
      </w:r>
    </w:p>
    <w:p>
      <w:pPr/>
      <w:r>
        <w:t>Prescribing follows good practice and guidelines for rational prescription of medications, across both outpatient and inpatient care. Clinicians are trained or sensitised on rational prescribing. The Code of Medical Ethics-2002, published by the Medical Council of India (now the National Medical Commission), is followed.</w:t>
      </w:r>
    </w:p>
    <w:p>
      <w:pPr>
        <w:pStyle w:val="Heading2"/>
      </w:pPr>
      <w:r>
        <w:t>5.2 Meet minimum prescription requirements</w:t>
      </w:r>
    </w:p>
    <w:p>
      <w:pPr/>
      <w:r>
        <w:t>Every prescription — whether inpatient, outpatient, or emergency — follows applicable national and international guidelines. At minimum, it includes:</w:t>
      </w:r>
    </w:p>
    <w:p>
      <w:pPr>
        <w:pStyle w:val="ListBullet"/>
      </w:pPr>
      <w:r>
        <w:t>the patient's name</w:t>
      </w:r>
    </w:p>
    <w:p>
      <w:pPr>
        <w:pStyle w:val="ListBullet"/>
      </w:pPr>
      <w:r>
        <w:t>the patient's unique hospital number</w:t>
      </w:r>
    </w:p>
    <w:p>
      <w:pPr>
        <w:pStyle w:val="ListBullet"/>
      </w:pPr>
      <w:r>
        <w:t>the drug name in generic composition, except for vitamin or mineral combinations</w:t>
      </w:r>
    </w:p>
    <w:p>
      <w:pPr>
        <w:pStyle w:val="ListBullet"/>
      </w:pPr>
      <w:r>
        <w:t>strength</w:t>
      </w:r>
    </w:p>
    <w:p>
      <w:pPr>
        <w:pStyle w:val="ListBullet"/>
      </w:pPr>
      <w:r>
        <w:t>dosage instructions</w:t>
      </w:r>
    </w:p>
    <w:p>
      <w:pPr>
        <w:pStyle w:val="ListBullet"/>
      </w:pPr>
      <w:r>
        <w:t>duration and total quantity</w:t>
      </w:r>
    </w:p>
    <w:p>
      <w:pPr>
        <w:pStyle w:val="ListBullet"/>
      </w:pPr>
      <w:r>
        <w:t>the prescribing doctor's name, signature, and registration number.</w:t>
      </w:r>
    </w:p>
    <w:p>
      <w:pPr/>
      <w:r>
        <w:t>Error-prone abbreviations are not used, and prescriptions are written in capital letters. It is preferable to use a digital prescription system to reduce errors. Where a prescription has an error or is illegible, it is corrected with a single strikethrough, initialled, and rewritten.</w:t>
      </w:r>
    </w:p>
    <w:p>
      <w:pPr>
        <w:pStyle w:val="Heading2"/>
      </w:pPr>
      <w:r>
        <w:t>5.3 Check for drug allergies and prior reactions</w:t>
      </w:r>
    </w:p>
    <w:p>
      <w:pPr/>
      <w:r>
        <w:t>Drug allergies and any previous adverse drug reactions are ascertained before prescribing — during the initial consultation, or at any point during the patient's care. It is good practice to record this prominently in the medical record for both outpatients and inpatients.</w:t>
      </w:r>
    </w:p>
    <w:p>
      <w:pPr>
        <w:pStyle w:val="Heading2"/>
      </w:pPr>
      <w:r>
        <w:t>5.4 Help clinicians avoid interactions and dosing errors</w:t>
      </w:r>
    </w:p>
    <w:p>
      <w:pPr/>
      <w:r>
        <w:t>«Hospital Name» provides clinicians with a mechanism — electronic or physical — to help identify drug interactions, food-drug interactions, alcohol-drug interactions, therapeutic duplication, and dose adjustments.</w:t>
      </w:r>
    </w:p>
    <w:p>
      <w:pPr>
        <w:pStyle w:val="Heading2"/>
      </w:pPr>
      <w:r>
        <w:t>5.5 Reconcile medications at transitions of care</w:t>
      </w:r>
    </w:p>
    <w:p>
      <w:pPr/>
      <w:r>
        <w:t>Prescribed medications are checked for accuracy at three points:</w:t>
      </w:r>
    </w:p>
    <w:p>
      <w:pPr>
        <w:pStyle w:val="ListBullet"/>
      </w:pPr>
      <w:r>
        <w:t>at admission — whether direct or after admission from the emergency department</w:t>
      </w:r>
    </w:p>
    <w:p>
      <w:pPr>
        <w:pStyle w:val="ListBullet"/>
      </w:pPr>
      <w:r>
        <w:t>at transfer between wards or departments</w:t>
      </w:r>
    </w:p>
    <w:p>
      <w:pPr>
        <w:pStyle w:val="ListBullet"/>
      </w:pPr>
      <w:r>
        <w:t>at discharge.</w:t>
      </w:r>
    </w:p>
    <w:p>
      <w:pPr/>
      <w:r>
        <w:t>It is preferable to also reconcile after a cross-consultation. Reconciliation is documented, and there is a system to communicate it effectively during handover.</w:t>
      </w:r>
    </w:p>
    <w:p>
      <w:pPr>
        <w:pStyle w:val="Heading2"/>
      </w:pPr>
      <w:r>
        <w:t>5.6 Control verbal orders</w:t>
      </w:r>
    </w:p>
    <w:p>
      <w:pPr/>
      <w:r>
        <w:t>Written guidance sets out who can give a verbal medication order, when it can be given, and how it is authenticated. Verbal orders are limited to urgent situations where immediate written or electronic communication is not practical, and their use is kept to a minimum. An approved list of formulary drugs that can be ordered verbally is maintained — defined either by what is included or what is excluded. The process includes read-back or repeat-back, and every verbal order is countersigned by the ordering doctor within 24 hours.</w:t>
      </w:r>
    </w:p>
    <w:p>
      <w:pPr>
        <w:pStyle w:val="Heading2"/>
      </w:pPr>
      <w:r>
        <w:t>5.7 Audit prescriptions</w:t>
      </w:r>
    </w:p>
    <w:p>
      <w:pPr/>
      <w:r>
        <w:t>Medication order and prescription audits check legibility and use of capitals, the appropriateness of drug, dose, frequency, and route, therapeutic duplication, drug and food-drug interactions and how they are avoided, dosage adjustment for renal or hepatic impairment, IV incompatibility, inappropriate dilutions or infusion durations, and adherence to this policy's other requirements. This happens at least once a month, using a representative sample. It is preferably done by a clinical pharmacologist or clinical pharmacist — where none is available, a trained multidisciplinary team can do it instead. It is preferable to audit prescriptions live, before dispensing.</w:t>
      </w:r>
    </w:p>
    <w:p>
      <w:pPr>
        <w:pStyle w:val="Heading2"/>
      </w:pPr>
      <w:r>
        <w:t>5.8 Act on audit findings</w:t>
      </w:r>
    </w:p>
    <w:p>
      <w:pPr/>
      <w:r>
        <w:t>Where appropriate, corrective or preventive action is taken based on the audit — ideally guided by root-cause analysis — and records of these actions are kept.</w:t>
      </w:r>
    </w:p>
    <w:p>
      <w:pPr>
        <w:pStyle w:val="Heading1"/>
      </w:pPr>
      <w:r>
        <w:t>6. Stop-work authority</w:t>
      </w:r>
    </w:p>
    <w:p>
      <w:pPr/>
      <w:r>
        <w:t>Do not prescribe (or transcribe a prescription for action) when drug allergies and previous adverse drug reactions have not been ascertained.</w:t>
      </w:r>
    </w:p>
    <w:p>
      <w:pPr/>
      <w:r>
        <w:t>Do not act on a verbal medication order except through the organisation's documented verbal-order process (read-back, documentation, countersignature within the defined time).</w:t>
      </w:r>
    </w:p>
    <w:p>
      <w:pPr/>
      <w:r>
        <w:t>Do not accept a prescription that fails the organisation's determined minimum requirements.</w:t>
      </w:r>
    </w:p>
    <w:p>
      <w:pPr/>
      <w:r>
        <w:t>Stop-work applies to writing or acting on the unsafe order. Immediate life-saving medication in an emergency follows the documented emergency-prescription rules and is written up as soon as the patient is stable.</w:t>
      </w:r>
    </w:p>
    <w:p>
      <w:pPr/>
      <w:r>
        <w:t>The person who stops tells the treating doctor and the Medication Safety Officer the same shift. Refusing an unsafe prescription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rational prescribing implementation; maintains the authorised-prescriber list; receives stop-work escalations.</w:t>
            </w:r>
          </w:p>
        </w:tc>
      </w:tr>
      <w:tr>
        <w:tc>
          <w:tcPr>
            <w:tcW w:type="dxa" w:w="4320"/>
          </w:tcPr>
          <w:p>
            <w:r>
              <w:t>Medication Safety Officer</w:t>
            </w:r>
          </w:p>
        </w:tc>
        <w:tc>
          <w:tcPr>
            <w:tcW w:type="dxa" w:w="4320"/>
          </w:tcPr>
          <w:p>
            <w:r>
              <w:t>Owns the prescription audit programme; brings audit findings and incidents to the Drug and Therapeutics Committee.</w:t>
            </w:r>
          </w:p>
        </w:tc>
      </w:tr>
      <w:tr>
        <w:tc>
          <w:tcPr>
            <w:tcW w:type="dxa" w:w="4320"/>
          </w:tcPr>
          <w:p>
            <w:r>
              <w:t>Treating doctors / prescribers</w:t>
            </w:r>
          </w:p>
        </w:tc>
        <w:tc>
          <w:tcPr>
            <w:tcW w:type="dxa" w:w="4320"/>
          </w:tcPr>
          <w:p>
            <w:r>
              <w:t>Follow rational-prescribing guidance and the Code of Medical Ethics-2002; apply minimum prescription requirements; check drug allergies before prescribing; follow the verbal-order and reconciliation processes.</w:t>
            </w:r>
          </w:p>
        </w:tc>
      </w:tr>
      <w:tr>
        <w:tc>
          <w:tcPr>
            <w:tcW w:type="dxa" w:w="4320"/>
          </w:tcPr>
          <w:p>
            <w:r>
              <w:t>Pharmacy In-Charge</w:t>
            </w:r>
          </w:p>
        </w:tc>
        <w:tc>
          <w:tcPr>
            <w:tcW w:type="dxa" w:w="4320"/>
          </w:tcPr>
          <w:p>
            <w:r>
              <w:t>Enforces minimum prescription requirements at the point of dispensing; holds the list of drugs orderable verbally; implements the verbal-order control process.</w:t>
            </w:r>
          </w:p>
        </w:tc>
      </w:tr>
      <w:tr>
        <w:tc>
          <w:tcPr>
            <w:tcW w:type="dxa" w:w="4320"/>
          </w:tcPr>
          <w:p>
            <w:r>
              <w:t>Nursing staff</w:t>
            </w:r>
          </w:p>
        </w:tc>
        <w:tc>
          <w:tcPr>
            <w:tcW w:type="dxa" w:w="4320"/>
          </w:tcPr>
          <w:p>
            <w:r>
              <w:t>Check prescriptions before administration; complete medication reconciliation at transitions of care.</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Rational prescribing</w:t>
            </w:r>
          </w:p>
        </w:tc>
        <w:tc>
          <w:tcPr>
            <w:tcW w:type="dxa" w:w="4320"/>
          </w:tcPr>
          <w:p>
            <w:r>
              <w:t>Clinicians trained; Code of Medical Ethics-2002 followed; prescribing in line with rational-prescribing guidelines for outpatients and inpatients.</w:t>
            </w:r>
          </w:p>
        </w:tc>
      </w:tr>
      <w:tr>
        <w:tc>
          <w:tcPr>
            <w:tcW w:type="dxa" w:w="4320"/>
          </w:tcPr>
          <w:p>
            <w:r>
              <w:t>Minimum prescription requirements</w:t>
            </w:r>
          </w:p>
        </w:tc>
        <w:tc>
          <w:tcPr>
            <w:tcW w:type="dxa" w:w="4320"/>
          </w:tcPr>
          <w:p>
            <w:r>
              <w:t>All seven elements present (patient name, unique hospital number, generic drug name, strength, dosage instruction, duration and total quantity, prescriber name/signature/registration number); capital letters used; no error-prone abbreviations; non-compliant prescriptions held.</w:t>
            </w:r>
          </w:p>
        </w:tc>
      </w:tr>
      <w:tr>
        <w:tc>
          <w:tcPr>
            <w:tcW w:type="dxa" w:w="4320"/>
          </w:tcPr>
          <w:p>
            <w:r>
              <w:t>Drug-allergy check</w:t>
            </w:r>
          </w:p>
        </w:tc>
        <w:tc>
          <w:tcPr>
            <w:tcW w:type="dxa" w:w="4320"/>
          </w:tcPr>
          <w:p>
            <w:r>
              <w:t>Drug allergies and previous ADRs ascertained and documented before prescribing for every patient.</w:t>
            </w:r>
          </w:p>
        </w:tc>
      </w:tr>
      <w:tr>
        <w:tc>
          <w:tcPr>
            <w:tcW w:type="dxa" w:w="4320"/>
          </w:tcPr>
          <w:p>
            <w:r>
              <w:t>Prescribing assistance mechanism</w:t>
            </w:r>
          </w:p>
        </w:tc>
        <w:tc>
          <w:tcPr>
            <w:tcW w:type="dxa" w:w="4320"/>
          </w:tcPr>
          <w:p>
            <w:r>
              <w:t>Mechanism available and working — electronic or physical — for drug interactions, food-drug interactions, therapeutic duplication, and dose adjustments.</w:t>
            </w:r>
          </w:p>
        </w:tc>
      </w:tr>
      <w:tr>
        <w:tc>
          <w:tcPr>
            <w:tcW w:type="dxa" w:w="4320"/>
          </w:tcPr>
          <w:p>
            <w:r>
              <w:t>Medication reconciliation</w:t>
            </w:r>
          </w:p>
        </w:tc>
        <w:tc>
          <w:tcPr>
            <w:tcW w:type="dxa" w:w="4320"/>
          </w:tcPr>
          <w:p>
            <w:r>
              <w:t>Documented at all three transition points: admission, transfer between wards or departments, and discharge.</w:t>
            </w:r>
          </w:p>
        </w:tc>
      </w:tr>
      <w:tr>
        <w:tc>
          <w:tcPr>
            <w:tcW w:type="dxa" w:w="4320"/>
          </w:tcPr>
          <w:p>
            <w:r>
              <w:t>Verbal orders</w:t>
            </w:r>
          </w:p>
        </w:tc>
        <w:tc>
          <w:tcPr>
            <w:tcW w:type="dxa" w:w="4320"/>
          </w:tcPr>
          <w:p>
            <w:r>
              <w:t>Read-back performed and documented; countersignature by ordering doctor within 24 hours; verbal orders limited to urgent situations.</w:t>
            </w:r>
          </w:p>
        </w:tc>
      </w:tr>
      <w:tr>
        <w:tc>
          <w:tcPr>
            <w:tcW w:type="dxa" w:w="4320"/>
          </w:tcPr>
          <w:p>
            <w:r>
              <w:t>Prescription audit</w:t>
            </w:r>
          </w:p>
        </w:tc>
        <w:tc>
          <w:tcPr>
            <w:tcW w:type="dxa" w:w="4320"/>
          </w:tcPr>
          <w:p>
            <w:r>
              <w:t>Conducted at least once a month with a representative sample; all scope parameters covered; findings documented; CAPA recorded where appropriate.</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doctors who prescribe, and pharmacy and nursing staff involved in checking, dispensing, and administering medications, shall be familiar with the rational-prescribing guidance, minimum prescription requirements, allergy-check process, reconciliation requirements, verbal-order process, and stop-work authority in this policy.</w:t>
      </w:r>
    </w:p>
    <w:p>
      <w:pPr/>
      <w:r>
        <w:t>I have read the Policy on Safe and Rational Prescription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treating doctors, pharmacy staff, nursing staff, the Medical Superintendent,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CAPA</w:t>
            </w:r>
          </w:p>
        </w:tc>
        <w:tc>
          <w:tcPr>
            <w:tcW w:type="dxa" w:w="4320"/>
          </w:tcPr>
          <w:p>
            <w:r>
              <w:t>Corrective and Preventive Action</w:t>
            </w:r>
          </w:p>
        </w:tc>
      </w:tr>
      <w:tr>
        <w:tc>
          <w:tcPr>
            <w:tcW w:type="dxa" w:w="4320"/>
          </w:tcPr>
          <w:p>
            <w:r>
              <w:t>DTC</w:t>
            </w:r>
          </w:p>
        </w:tc>
        <w:tc>
          <w:tcPr>
            <w:tcW w:type="dxa" w:w="4320"/>
          </w:tcPr>
          <w:p>
            <w:r>
              <w:t>Drug and Therapeutics Committee</w:t>
            </w:r>
          </w:p>
        </w:tc>
      </w:tr>
      <w:tr>
        <w:tc>
          <w:tcPr>
            <w:tcW w:type="dxa" w:w="4320"/>
          </w:tcPr>
          <w:p>
            <w:r>
              <w:t>IV</w:t>
            </w:r>
          </w:p>
        </w:tc>
        <w:tc>
          <w:tcPr>
            <w:tcW w:type="dxa" w:w="4320"/>
          </w:tcPr>
          <w:p>
            <w:r>
              <w:t>Intravenous</w:t>
            </w:r>
          </w:p>
        </w:tc>
      </w:tr>
      <w:tr>
        <w:tc>
          <w:tcPr>
            <w:tcW w:type="dxa" w:w="4320"/>
          </w:tcPr>
          <w:p>
            <w:r>
              <w:t>MCI</w:t>
            </w:r>
          </w:p>
        </w:tc>
        <w:tc>
          <w:tcPr>
            <w:tcW w:type="dxa" w:w="4320"/>
          </w:tcPr>
          <w:p>
            <w:r>
              <w:t>Medical Council of India</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NMC</w:t>
            </w:r>
          </w:p>
        </w:tc>
        <w:tc>
          <w:tcPr>
            <w:tcW w:type="dxa" w:w="4320"/>
          </w:tcPr>
          <w:p>
            <w:r>
              <w:t>National Medical Commission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MOM.4.a</w:t>
            </w:r>
          </w:p>
        </w:tc>
        <w:tc>
          <w:tcPr>
            <w:tcW w:type="dxa" w:w="2880"/>
          </w:tcPr>
          <w:p>
            <w:r>
              <w:t>Commitment*</w:t>
            </w:r>
          </w:p>
        </w:tc>
        <w:tc>
          <w:tcPr>
            <w:tcW w:type="dxa" w:w="2880"/>
          </w:tcPr>
          <w:p>
            <w:r>
              <w:t>Sections 3 and 5.1 address rational prescribing for outpatients and inpatients, clinician training, and the Code of Medical Ethics-2002.</w:t>
            </w:r>
          </w:p>
        </w:tc>
      </w:tr>
      <w:tr>
        <w:tc>
          <w:tcPr>
            <w:tcW w:type="dxa" w:w="2880"/>
          </w:tcPr>
          <w:p>
            <w:r>
              <w:t>MOM.4.b</w:t>
            </w:r>
          </w:p>
        </w:tc>
        <w:tc>
          <w:tcPr>
            <w:tcW w:type="dxa" w:w="2880"/>
          </w:tcPr>
          <w:p>
            <w:r>
              <w:t>CORE*</w:t>
            </w:r>
          </w:p>
        </w:tc>
        <w:tc>
          <w:tcPr>
            <w:tcW w:type="dxa" w:w="2880"/>
          </w:tcPr>
          <w:p>
            <w:r>
              <w:t>Sections 3, 4, and 5.2 address all seven minimum prescription elements, capital letters, no error-prone abbreviations, and the process for holding non-compliant prescriptions. Physical-separation of requirements is presented as a bullet list for assessor legibility.</w:t>
            </w:r>
          </w:p>
        </w:tc>
      </w:tr>
      <w:tr>
        <w:tc>
          <w:tcPr>
            <w:tcW w:type="dxa" w:w="2880"/>
          </w:tcPr>
          <w:p>
            <w:r>
              <w:t>MOM.4.c</w:t>
            </w:r>
          </w:p>
        </w:tc>
        <w:tc>
          <w:tcPr>
            <w:tcW w:type="dxa" w:w="2880"/>
          </w:tcPr>
          <w:p>
            <w:r>
              <w:t>Commitment</w:t>
            </w:r>
          </w:p>
        </w:tc>
        <w:tc>
          <w:tcPr>
            <w:tcW w:type="dxa" w:w="2880"/>
          </w:tcPr>
          <w:p>
            <w:r>
              <w:t>Sections 3 and 5.3 address ascertainment of drug allergies and previous adverse drug reactions before prescribing. This is also the first stop-work trigger in Section 6.</w:t>
            </w:r>
          </w:p>
        </w:tc>
      </w:tr>
      <w:tr>
        <w:tc>
          <w:tcPr>
            <w:tcW w:type="dxa" w:w="2880"/>
          </w:tcPr>
          <w:p>
            <w:r>
              <w:t>MOM.4.d</w:t>
            </w:r>
          </w:p>
        </w:tc>
        <w:tc>
          <w:tcPr>
            <w:tcW w:type="dxa" w:w="2880"/>
          </w:tcPr>
          <w:p>
            <w:r>
              <w:t>Excellence</w:t>
            </w:r>
          </w:p>
        </w:tc>
        <w:tc>
          <w:tcPr>
            <w:tcW w:type="dxa" w:w="2880"/>
          </w:tcPr>
          <w:p>
            <w:r>
              <w:t>Section 5.4 addresses the clinician assistance mechanism — electronic or physical — for drug interactions, food-drug interactions, therapeutic duplication, and dose adjustments.</w:t>
            </w:r>
          </w:p>
        </w:tc>
      </w:tr>
      <w:tr>
        <w:tc>
          <w:tcPr>
            <w:tcW w:type="dxa" w:w="2880"/>
          </w:tcPr>
          <w:p>
            <w:r>
              <w:t>MOM.4.e</w:t>
            </w:r>
          </w:p>
        </w:tc>
        <w:tc>
          <w:tcPr>
            <w:tcW w:type="dxa" w:w="2880"/>
          </w:tcPr>
          <w:p>
            <w:r>
              <w:t>CORE</w:t>
            </w:r>
          </w:p>
        </w:tc>
        <w:tc>
          <w:tcPr>
            <w:tcW w:type="dxa" w:w="2880"/>
          </w:tcPr>
          <w:p>
            <w:r>
              <w:t>Sections 3 and 5.5 address medication reconciliation at all three mandatory transition points: admission, transfer between wards or departments, and discharge, with documentation and handover communication.</w:t>
            </w:r>
          </w:p>
        </w:tc>
      </w:tr>
      <w:tr>
        <w:tc>
          <w:tcPr>
            <w:tcW w:type="dxa" w:w="2880"/>
          </w:tcPr>
          <w:p>
            <w:r>
              <w:t>MOM.4.f</w:t>
            </w:r>
          </w:p>
        </w:tc>
        <w:tc>
          <w:tcPr>
            <w:tcW w:type="dxa" w:w="2880"/>
          </w:tcPr>
          <w:p>
            <w:r>
              <w:t>CORE*</w:t>
            </w:r>
          </w:p>
        </w:tc>
        <w:tc>
          <w:tcPr>
            <w:tcW w:type="dxa" w:w="2880"/>
          </w:tcPr>
          <w:p>
            <w:r>
              <w:t>Sections 3 and 5.6 address the verbal-order process: written guidance naming who, when, and how; read-back; countersignature within 24 hours; and a list of drugs orderable verbally. This is also a stop-work trigger in Section 6.</w:t>
            </w:r>
          </w:p>
        </w:tc>
      </w:tr>
      <w:tr>
        <w:tc>
          <w:tcPr>
            <w:tcW w:type="dxa" w:w="2880"/>
          </w:tcPr>
          <w:p>
            <w:r>
              <w:t>MOM.4.g</w:t>
            </w:r>
          </w:p>
        </w:tc>
        <w:tc>
          <w:tcPr>
            <w:tcW w:type="dxa" w:w="2880"/>
          </w:tcPr>
          <w:p>
            <w:r>
              <w:t>Achievement</w:t>
            </w:r>
          </w:p>
        </w:tc>
        <w:tc>
          <w:tcPr>
            <w:tcW w:type="dxa" w:w="2880"/>
          </w:tcPr>
          <w:p>
            <w:r>
              <w:t>Section 5.7 addresses the monthly prescription audit with a representative sample, covering all required scope parameters.</w:t>
            </w:r>
          </w:p>
        </w:tc>
      </w:tr>
      <w:tr>
        <w:tc>
          <w:tcPr>
            <w:tcW w:type="dxa" w:w="2880"/>
          </w:tcPr>
          <w:p>
            <w:r>
              <w:t>MOM.4.h</w:t>
            </w:r>
          </w:p>
        </w:tc>
        <w:tc>
          <w:tcPr>
            <w:tcW w:type="dxa" w:w="2880"/>
          </w:tcPr>
          <w:p>
            <w:r>
              <w:t>Achievement</w:t>
            </w:r>
          </w:p>
        </w:tc>
        <w:tc>
          <w:tcPr>
            <w:tcW w:type="dxa" w:w="2880"/>
          </w:tcPr>
          <w:p>
            <w:r>
              <w:t>Section 5.8 addresses corrective or preventive action taken where appropriate based on audit findings, with records kept.</w:t>
            </w:r>
          </w:p>
        </w:tc>
      </w:tr>
    </w:tbl>
    <w:p>
      <w:pPr>
        <w:pStyle w:val="Heading1"/>
      </w:pPr>
      <w:r>
        <w:t>13. Required Records/Evidence Checklist</w:t>
      </w:r>
    </w:p>
    <w:p>
      <w:pPr>
        <w:pStyle w:val="Heading2"/>
      </w:pPr>
      <w:r>
        <w:t>Rational prescribing — MOM.4.a (Commitment*)</w:t>
      </w:r>
    </w:p>
    <w:p>
      <w:pPr>
        <w:pStyle w:val="ListBullet"/>
      </w:pPr>
      <w:r>
        <w:t>DTC-named rational-prescribing reference (Code of Medical Ethics-2002; applicable rational-prescribing guidelines).</w:t>
      </w:r>
    </w:p>
    <w:p>
      <w:pPr>
        <w:pStyle w:val="ListBullet"/>
      </w:pPr>
      <w:r>
        <w:t>Staff training records showing clinicians trained or sensitised on rational prescribing.</w:t>
      </w:r>
    </w:p>
    <w:p>
      <w:pPr>
        <w:pStyle w:val="ListBullet"/>
      </w:pPr>
      <w:r>
        <w:t>Prescription-audit records sampled against rational-prescribing guidance.</w:t>
      </w:r>
    </w:p>
    <w:p>
      <w:pPr>
        <w:pStyle w:val="Heading2"/>
      </w:pPr>
      <w:r>
        <w:t>Minimum prescription requirements — MOM.4.b (CORE*)</w:t>
      </w:r>
    </w:p>
    <w:p>
      <w:pPr>
        <w:pStyle w:val="ListBullet"/>
      </w:pPr>
      <w:r>
        <w:t>Published minimum-prescription-requirement list showing all seven mandatory elements.</w:t>
      </w:r>
    </w:p>
    <w:p>
      <w:pPr>
        <w:pStyle w:val="ListBullet"/>
      </w:pPr>
      <w:r>
        <w:t>Sample prescriptions showing all elements present, written in capital letters, with no error-prone abbreviations.</w:t>
      </w:r>
    </w:p>
    <w:p>
      <w:pPr>
        <w:pStyle w:val="ListBullet"/>
      </w:pPr>
      <w:r>
        <w:t>Hold or reject records for prescriptions failing minimum requirements, except through the documented emergency path.</w:t>
      </w:r>
    </w:p>
    <w:p>
      <w:pPr>
        <w:pStyle w:val="Heading2"/>
      </w:pPr>
      <w:r>
        <w:t>Drug-allergy check — MOM.4.c</w:t>
      </w:r>
    </w:p>
    <w:p>
      <w:pPr>
        <w:pStyle w:val="ListBullet"/>
      </w:pPr>
      <w:r>
        <w:t>Drug-allergy and previous-ADR ascertainment records before prescribing, including entries stating 'none known'.</w:t>
      </w:r>
    </w:p>
    <w:p>
      <w:pPr>
        <w:pStyle w:val="ListBullet"/>
      </w:pPr>
      <w:r>
        <w:t>Prominent allergy documentation in the medical record for outpatients and inpatients.</w:t>
      </w:r>
    </w:p>
    <w:p>
      <w:pPr>
        <w:pStyle w:val="Heading2"/>
      </w:pPr>
      <w:r>
        <w:t>Prescribing assistance mechanism — MOM.4.d</w:t>
      </w:r>
    </w:p>
    <w:p>
      <w:pPr>
        <w:pStyle w:val="ListBullet"/>
      </w:pPr>
      <w:r>
        <w:t>Evidence of a working assistance mechanism — electronic or physical — for drug interactions, food-drug interactions, alcohol-drug interactions, therapeutic duplication, and dose adjustments.</w:t>
      </w:r>
    </w:p>
    <w:p>
      <w:pPr>
        <w:pStyle w:val="ListBullet"/>
      </w:pPr>
      <w:r>
        <w:t>Records of orders clarified by pharmacy before dispensing where the mechanism identified a concern.</w:t>
      </w:r>
    </w:p>
    <w:p>
      <w:pPr>
        <w:pStyle w:val="Heading2"/>
      </w:pPr>
      <w:r>
        <w:t>Medication reconciliation — MOM.4.e (CORE)</w:t>
      </w:r>
    </w:p>
    <w:p>
      <w:pPr>
        <w:pStyle w:val="ListBullet"/>
      </w:pPr>
      <w:r>
        <w:t>Reconciled-medication-list records at admission (direct or post-emergency), transfer between wards or departments, and at discharge.</w:t>
      </w:r>
    </w:p>
    <w:p>
      <w:pPr>
        <w:pStyle w:val="ListBullet"/>
      </w:pPr>
      <w:r>
        <w:t>Discrepancy-resolution records between the reconciling clinician and the prescriber.</w:t>
      </w:r>
    </w:p>
    <w:p>
      <w:pPr>
        <w:pStyle w:val="ListBullet"/>
      </w:pPr>
      <w:r>
        <w:t>Handover communication records showing reconciliation status transmitted at the transition point.</w:t>
      </w:r>
    </w:p>
    <w:p>
      <w:pPr>
        <w:pStyle w:val="Heading2"/>
      </w:pPr>
      <w:r>
        <w:t>Verbal orders — MOM.4.f (CORE*)</w:t>
      </w:r>
    </w:p>
    <w:p>
      <w:pPr>
        <w:pStyle w:val="ListBullet"/>
      </w:pPr>
      <w:r>
        <w:t>Written verbal-order guidance naming who can give a verbal order, when, and how it is authenticated.</w:t>
      </w:r>
    </w:p>
    <w:p>
      <w:pPr>
        <w:pStyle w:val="ListBullet"/>
      </w:pPr>
      <w:r>
        <w:t>Read-back records for each verbal order — drug, dose, route, frequency, patient — before administration.</w:t>
      </w:r>
    </w:p>
    <w:p>
      <w:pPr>
        <w:pStyle w:val="ListBullet"/>
      </w:pPr>
      <w:r>
        <w:t>Countersignature records by the ordering doctor within 24 hours of the verbal order.</w:t>
      </w:r>
    </w:p>
    <w:p>
      <w:pPr>
        <w:pStyle w:val="ListBullet"/>
      </w:pPr>
      <w:r>
        <w:t>Approved list of formulary drugs that can be ordered verbally.</w:t>
      </w:r>
    </w:p>
    <w:p>
      <w:pPr>
        <w:pStyle w:val="Heading2"/>
      </w:pPr>
      <w:r>
        <w:t>Prescription audit — MOM.4.g</w:t>
      </w:r>
    </w:p>
    <w:p>
      <w:pPr>
        <w:pStyle w:val="ListBullet"/>
      </w:pPr>
      <w:r>
        <w:t>Monthly audit records with a representative sample, covering all required scope parameters.</w:t>
      </w:r>
    </w:p>
    <w:p>
      <w:pPr>
        <w:pStyle w:val="ListBullet"/>
      </w:pPr>
      <w:r>
        <w:t>DTC or Medication Safety Officer presentation record of audit findings.</w:t>
      </w:r>
    </w:p>
    <w:p>
      <w:pPr>
        <w:pStyle w:val="ListBullet"/>
      </w:pPr>
      <w:r>
        <w:t>Evidence the audit sample size was representative and the frequency was at least once a month.</w:t>
      </w:r>
    </w:p>
    <w:p>
      <w:pPr>
        <w:pStyle w:val="Heading2"/>
      </w:pPr>
      <w:r>
        <w:t>CAPA from audit — MOM.4.h</w:t>
      </w:r>
    </w:p>
    <w:p>
      <w:pPr>
        <w:pStyle w:val="ListBullet"/>
      </w:pPr>
      <w:r>
        <w:t>CAPA records from audit findings, with owner and due date.</w:t>
      </w:r>
    </w:p>
    <w:p>
      <w:pPr>
        <w:pStyle w:val="ListBullet"/>
      </w:pPr>
      <w:r>
        <w:t>Closure-tracking records for each open action.</w:t>
      </w:r>
    </w:p>
    <w:p>
      <w:pPr>
        <w:pStyle w:val="ListBullet"/>
      </w:pPr>
      <w:r>
        <w:t>Decision records noting where CAPA was considered and judged not required, where that is the case.</w:t>
      </w:r>
    </w:p>
    <w:p>
      <w:pPr>
        <w:pStyle w:val="Heading1"/>
      </w:pPr>
      <w:r>
        <w:t>14. References</w:t>
      </w:r>
    </w:p>
    <w:p>
      <w:pPr>
        <w:pStyle w:val="ListNumber"/>
      </w:pPr>
      <w:r>
        <w:t>National Accreditation Board for Hospitals and Healthcare Providers. NABH Accreditation Standards for Hospitals, 6th Edition. MOM.4.</w:t>
      </w:r>
    </w:p>
    <w:p>
      <w:pPr>
        <w:pStyle w:val="ListNumber"/>
      </w:pPr>
      <w:r>
        <w:t>Guidebook interpretation supplied for MOM.4.a through MOM.4.h.</w:t>
      </w:r>
    </w:p>
    <w:p>
      <w:pPr>
        <w:pStyle w:val="ListNumber"/>
      </w:pPr>
      <w:r>
        <w:t>Code of Medical Ethics-2002, Medical Council of India (now National Medical Commission).</w:t>
      </w:r>
    </w:p>
    <w:p>
      <w:pPr>
        <w:pStyle w:val="ListNumber"/>
      </w:pPr>
      <w:r>
        <w:t>Institute for Safe Medication Practices (ISMP) guidelines on error-prone abbreviations.</w:t>
      </w:r>
    </w:p>
    <w:p>
      <w:pPr>
        <w:pStyle w:val="ListNumber"/>
      </w:pPr>
      <w:r>
        <w:t>Internal documents of «Hospital Name»: rational-prescribing guidance; minimum-prescription-requirement list; verbal-order procedure; medication-reconciliation records; prescription audit reports.</w:t>
      </w:r>
    </w:p>
    <w:p>
      <w:pPr>
        <w:pStyle w:val="Heading1"/>
      </w:pPr>
      <w:r>
        <w:t>Disclaimer</w:t>
      </w:r>
    </w:p>
    <w:p>
      <w:pPr/>
      <w:r>
        <w:t>This policy reorganises the supplied MOM.4 objective-element wording and Guidebook interpretation into plain-language policy format. The modal strength of the source has been preserved. Optional examples and mechanisms have not been converted into mandatory requirements. The exact requirements of all seven minimum prescription elements, the capital-letters and no-error-prone-abbreviations rules, the drug-allergy-check stop-work trigger, all three reconciliation transition points (admission, transfer, discharge), the verbal-order countersignature within 24 hours, and the monthly audit frequency with a representative sample have been retained verbatim.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